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9BD" w:rsidRPr="00C579BD" w:rsidRDefault="00C579BD" w:rsidP="00C579BD">
      <w:pPr>
        <w:spacing w:after="0" w:line="240" w:lineRule="auto"/>
        <w:jc w:val="center"/>
        <w:rPr>
          <w:rFonts w:ascii="Arial" w:eastAsia="Times New Roman" w:hAnsi="Arial" w:cs="Arial"/>
          <w:b/>
          <w:sz w:val="24"/>
          <w:szCs w:val="24"/>
          <w:lang w:eastAsia="en-GB"/>
        </w:rPr>
      </w:pPr>
    </w:p>
    <w:p w:rsidR="00C579BD" w:rsidRPr="00C579BD" w:rsidRDefault="00C579BD" w:rsidP="00C579BD">
      <w:pPr>
        <w:jc w:val="center"/>
        <w:rPr>
          <w:rFonts w:ascii="Arial" w:eastAsia="Times New Roman" w:hAnsi="Arial" w:cs="Arial"/>
          <w:b/>
          <w:sz w:val="24"/>
          <w:szCs w:val="24"/>
          <w:lang w:eastAsia="en-GB"/>
        </w:rPr>
      </w:pPr>
      <w:r w:rsidRPr="00C579BD">
        <w:rPr>
          <w:rFonts w:asciiTheme="majorHAnsi" w:eastAsiaTheme="majorEastAsia" w:hAnsiTheme="majorHAnsi" w:cstheme="majorBidi"/>
          <w:noProof/>
          <w:color w:val="262626" w:themeColor="text1" w:themeTint="D9"/>
          <w:sz w:val="96"/>
          <w:szCs w:val="96"/>
          <w:lang w:eastAsia="en-GB"/>
        </w:rPr>
        <w:drawing>
          <wp:inline distT="0" distB="0" distL="0" distR="0" wp14:anchorId="3863D007" wp14:editId="68306466">
            <wp:extent cx="2995930" cy="873760"/>
            <wp:effectExtent l="0" t="0" r="0" b="2540"/>
            <wp:docPr id="2" name="Picture 2" descr="F&amp;ODC Master Dual Pantone 260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amp;ODC Master Dual Pantone 2603.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5930" cy="873760"/>
                    </a:xfrm>
                    <a:prstGeom prst="rect">
                      <a:avLst/>
                    </a:prstGeom>
                    <a:noFill/>
                    <a:ln>
                      <a:noFill/>
                    </a:ln>
                  </pic:spPr>
                </pic:pic>
              </a:graphicData>
            </a:graphic>
          </wp:inline>
        </w:drawing>
      </w:r>
    </w:p>
    <w:p w:rsidR="00C579BD" w:rsidRPr="00C579BD" w:rsidRDefault="00C579BD" w:rsidP="00C579BD">
      <w:pPr>
        <w:rPr>
          <w:rFonts w:ascii="Arial" w:eastAsia="Times New Roman" w:hAnsi="Arial" w:cs="Arial"/>
          <w:b/>
          <w:sz w:val="24"/>
          <w:szCs w:val="24"/>
          <w:lang w:eastAsia="en-GB"/>
        </w:rPr>
      </w:pPr>
    </w:p>
    <w:p w:rsidR="00C579BD" w:rsidRPr="00C579BD" w:rsidRDefault="00C579BD" w:rsidP="00C579BD">
      <w:pPr>
        <w:keepNext/>
        <w:keepLines/>
        <w:pBdr>
          <w:bottom w:val="single" w:sz="4" w:space="2" w:color="9B57D3"/>
        </w:pBdr>
        <w:spacing w:before="360" w:after="120" w:line="240" w:lineRule="auto"/>
        <w:outlineLvl w:val="0"/>
        <w:rPr>
          <w:rFonts w:ascii="Arial" w:eastAsia="Times New Roman" w:hAnsi="Arial" w:cs="Arial"/>
          <w:color w:val="262626"/>
          <w:sz w:val="24"/>
          <w:szCs w:val="24"/>
        </w:rPr>
      </w:pPr>
    </w:p>
    <w:p w:rsidR="00C579BD" w:rsidRPr="00C579BD" w:rsidRDefault="00C579BD" w:rsidP="00C579BD">
      <w:pPr>
        <w:spacing w:line="240" w:lineRule="auto"/>
        <w:rPr>
          <w:rFonts w:ascii="Arial" w:eastAsia="Times New Roman" w:hAnsi="Arial" w:cs="Arial"/>
          <w:sz w:val="24"/>
          <w:szCs w:val="24"/>
        </w:rPr>
      </w:pPr>
    </w:p>
    <w:p w:rsidR="00C579BD" w:rsidRPr="00C579BD" w:rsidRDefault="00C579BD" w:rsidP="00C579BD">
      <w:pPr>
        <w:keepNext/>
        <w:keepLines/>
        <w:pBdr>
          <w:bottom w:val="single" w:sz="4" w:space="2" w:color="9B57D3"/>
        </w:pBdr>
        <w:spacing w:before="360" w:after="120" w:line="240" w:lineRule="auto"/>
        <w:jc w:val="center"/>
        <w:outlineLvl w:val="0"/>
        <w:rPr>
          <w:rFonts w:ascii="Arial" w:eastAsia="Times New Roman" w:hAnsi="Arial" w:cs="Arial"/>
          <w:b/>
          <w:color w:val="262626"/>
          <w:sz w:val="28"/>
          <w:szCs w:val="28"/>
        </w:rPr>
      </w:pPr>
      <w:r w:rsidRPr="00C579BD">
        <w:rPr>
          <w:rFonts w:ascii="Arial" w:eastAsia="Times New Roman" w:hAnsi="Arial" w:cs="Arial"/>
          <w:b/>
          <w:color w:val="262626"/>
          <w:sz w:val="28"/>
          <w:szCs w:val="28"/>
        </w:rPr>
        <w:t>FERMANAGH AND OMAGH DISTRICT COUNCIL</w:t>
      </w:r>
    </w:p>
    <w:p w:rsidR="00C579BD" w:rsidRPr="00C579BD" w:rsidRDefault="00C579BD" w:rsidP="00C579BD">
      <w:pPr>
        <w:keepNext/>
        <w:keepLines/>
        <w:pBdr>
          <w:bottom w:val="single" w:sz="4" w:space="2" w:color="9B57D3"/>
        </w:pBdr>
        <w:spacing w:before="360" w:after="120" w:line="240" w:lineRule="auto"/>
        <w:outlineLvl w:val="0"/>
        <w:rPr>
          <w:rFonts w:ascii="Arial" w:eastAsia="Times New Roman" w:hAnsi="Arial" w:cs="Arial"/>
          <w:b/>
          <w:color w:val="262626"/>
          <w:sz w:val="24"/>
          <w:szCs w:val="24"/>
        </w:rPr>
      </w:pPr>
    </w:p>
    <w:p w:rsidR="00C579BD" w:rsidRPr="00C579BD" w:rsidRDefault="00C579BD" w:rsidP="00C579BD">
      <w:pPr>
        <w:rPr>
          <w:lang w:eastAsia="en-GB"/>
        </w:rPr>
      </w:pPr>
    </w:p>
    <w:p w:rsidR="00C579BD" w:rsidRPr="00C579BD" w:rsidRDefault="00C579BD" w:rsidP="00C579BD">
      <w:pPr>
        <w:spacing w:line="276" w:lineRule="auto"/>
        <w:rPr>
          <w:rFonts w:ascii="Arial" w:eastAsiaTheme="minorEastAsia" w:hAnsi="Arial" w:cs="Arial"/>
          <w:b/>
          <w:sz w:val="28"/>
          <w:szCs w:val="28"/>
        </w:rPr>
      </w:pPr>
    </w:p>
    <w:p w:rsidR="00C579BD" w:rsidRPr="009D28EA" w:rsidRDefault="00C579BD" w:rsidP="00C579BD">
      <w:pPr>
        <w:jc w:val="center"/>
        <w:rPr>
          <w:rFonts w:ascii="Arial" w:eastAsia="Times New Roman" w:hAnsi="Arial" w:cs="Arial"/>
          <w:sz w:val="28"/>
          <w:szCs w:val="28"/>
          <w:lang w:eastAsia="en-GB"/>
        </w:rPr>
      </w:pPr>
      <w:r w:rsidRPr="009D28EA">
        <w:rPr>
          <w:rFonts w:ascii="Arial" w:eastAsia="Times New Roman" w:hAnsi="Arial" w:cs="Arial"/>
          <w:sz w:val="28"/>
          <w:szCs w:val="28"/>
          <w:lang w:eastAsia="en-GB"/>
        </w:rPr>
        <w:t>Position Paper 15</w:t>
      </w:r>
    </w:p>
    <w:p w:rsidR="00C579BD" w:rsidRPr="009D28EA" w:rsidRDefault="00C579BD" w:rsidP="00C579BD">
      <w:pPr>
        <w:rPr>
          <w:rFonts w:ascii="Arial" w:eastAsia="Times New Roman" w:hAnsi="Arial" w:cs="Arial"/>
          <w:b/>
          <w:sz w:val="28"/>
          <w:szCs w:val="28"/>
          <w:lang w:eastAsia="en-GB"/>
        </w:rPr>
      </w:pPr>
    </w:p>
    <w:p w:rsidR="00C579BD" w:rsidRPr="009D28EA" w:rsidRDefault="00C579BD" w:rsidP="00C579BD">
      <w:pPr>
        <w:rPr>
          <w:rFonts w:ascii="Arial" w:eastAsia="Times New Roman" w:hAnsi="Arial" w:cs="Arial"/>
          <w:b/>
          <w:sz w:val="28"/>
          <w:szCs w:val="28"/>
          <w:lang w:eastAsia="en-GB"/>
        </w:rPr>
      </w:pPr>
    </w:p>
    <w:p w:rsidR="00C579BD" w:rsidRPr="009D28EA" w:rsidRDefault="00C579BD" w:rsidP="00C579BD">
      <w:pPr>
        <w:jc w:val="center"/>
        <w:rPr>
          <w:rFonts w:ascii="Arial" w:eastAsia="Times New Roman" w:hAnsi="Arial" w:cs="Arial"/>
          <w:b/>
          <w:sz w:val="28"/>
          <w:szCs w:val="28"/>
          <w:lang w:eastAsia="en-GB"/>
        </w:rPr>
      </w:pPr>
      <w:r w:rsidRPr="009D28EA">
        <w:rPr>
          <w:rFonts w:ascii="Arial" w:eastAsia="Times New Roman" w:hAnsi="Arial" w:cs="Arial"/>
          <w:b/>
          <w:sz w:val="28"/>
          <w:szCs w:val="28"/>
          <w:lang w:eastAsia="en-GB"/>
        </w:rPr>
        <w:t>Development Pressure Analysis</w:t>
      </w:r>
    </w:p>
    <w:p w:rsidR="00C579BD" w:rsidRPr="009D28EA" w:rsidRDefault="00C579BD" w:rsidP="00C579BD">
      <w:pPr>
        <w:jc w:val="center"/>
        <w:rPr>
          <w:rFonts w:ascii="Arial" w:eastAsia="Times New Roman" w:hAnsi="Arial" w:cs="Arial"/>
          <w:sz w:val="28"/>
          <w:szCs w:val="28"/>
          <w:lang w:eastAsia="en-GB"/>
        </w:rPr>
      </w:pPr>
    </w:p>
    <w:p w:rsidR="00C579BD" w:rsidRPr="009D28EA" w:rsidRDefault="00C579BD" w:rsidP="00C579BD">
      <w:pPr>
        <w:jc w:val="center"/>
        <w:rPr>
          <w:rFonts w:ascii="Arial" w:eastAsia="Times New Roman" w:hAnsi="Arial" w:cs="Arial"/>
          <w:sz w:val="28"/>
          <w:szCs w:val="28"/>
          <w:lang w:eastAsia="en-GB"/>
        </w:rPr>
      </w:pPr>
    </w:p>
    <w:p w:rsidR="00C579BD" w:rsidRPr="009D28EA" w:rsidRDefault="00C579BD" w:rsidP="00C579BD">
      <w:pPr>
        <w:jc w:val="center"/>
        <w:rPr>
          <w:rFonts w:ascii="Arial" w:eastAsia="Times New Roman" w:hAnsi="Arial" w:cs="Arial"/>
          <w:sz w:val="28"/>
          <w:szCs w:val="28"/>
          <w:lang w:eastAsia="en-GB"/>
        </w:rPr>
      </w:pPr>
      <w:r w:rsidRPr="009D28EA">
        <w:rPr>
          <w:rFonts w:ascii="Arial" w:eastAsia="Times New Roman" w:hAnsi="Arial" w:cs="Arial"/>
          <w:sz w:val="28"/>
          <w:szCs w:val="28"/>
          <w:lang w:eastAsia="en-GB"/>
        </w:rPr>
        <w:t>December 2015</w:t>
      </w:r>
    </w:p>
    <w:p w:rsidR="00C579BD" w:rsidRPr="009D28EA" w:rsidRDefault="00C579BD" w:rsidP="00C579BD">
      <w:pPr>
        <w:rPr>
          <w:rFonts w:ascii="Arial" w:eastAsia="Times New Roman" w:hAnsi="Arial" w:cs="Arial"/>
          <w:b/>
          <w:sz w:val="28"/>
          <w:szCs w:val="28"/>
          <w:lang w:eastAsia="en-GB"/>
        </w:rPr>
      </w:pPr>
    </w:p>
    <w:p w:rsidR="00C579BD" w:rsidRPr="00C579BD" w:rsidRDefault="00C579BD" w:rsidP="00C579BD">
      <w:pPr>
        <w:rPr>
          <w:rFonts w:ascii="Arial" w:eastAsia="Times New Roman" w:hAnsi="Arial" w:cs="Arial"/>
          <w:b/>
          <w:sz w:val="24"/>
          <w:szCs w:val="24"/>
          <w:lang w:eastAsia="en-GB"/>
        </w:rPr>
      </w:pPr>
    </w:p>
    <w:p w:rsidR="00C579BD" w:rsidRPr="00C579BD" w:rsidRDefault="00C579BD" w:rsidP="00C579BD">
      <w:pPr>
        <w:rPr>
          <w:rFonts w:ascii="Arial" w:eastAsia="Times New Roman" w:hAnsi="Arial" w:cs="Arial"/>
          <w:b/>
          <w:sz w:val="24"/>
          <w:szCs w:val="24"/>
          <w:lang w:eastAsia="en-GB"/>
        </w:rPr>
      </w:pPr>
    </w:p>
    <w:p w:rsidR="00C579BD" w:rsidRPr="00C579BD" w:rsidRDefault="00C579BD" w:rsidP="00C579BD">
      <w:pPr>
        <w:rPr>
          <w:rFonts w:ascii="Arial" w:eastAsia="Times New Roman" w:hAnsi="Arial" w:cs="Arial"/>
          <w:b/>
          <w:sz w:val="24"/>
          <w:szCs w:val="24"/>
          <w:lang w:eastAsia="en-GB"/>
        </w:rPr>
      </w:pPr>
    </w:p>
    <w:p w:rsidR="00C579BD" w:rsidRPr="00C579BD" w:rsidRDefault="00C579BD" w:rsidP="00C579BD">
      <w:pPr>
        <w:rPr>
          <w:rFonts w:ascii="Arial" w:eastAsia="Times New Roman" w:hAnsi="Arial" w:cs="Arial"/>
          <w:b/>
          <w:sz w:val="24"/>
          <w:szCs w:val="24"/>
          <w:lang w:eastAsia="en-GB"/>
        </w:rPr>
      </w:pPr>
    </w:p>
    <w:p w:rsidR="00C579BD" w:rsidRPr="00C579BD" w:rsidRDefault="00C579BD" w:rsidP="00C579BD">
      <w:pPr>
        <w:rPr>
          <w:rFonts w:ascii="Arial" w:eastAsia="Times New Roman" w:hAnsi="Arial" w:cs="Arial"/>
          <w:b/>
          <w:sz w:val="24"/>
          <w:szCs w:val="24"/>
          <w:lang w:eastAsia="en-GB"/>
        </w:rPr>
      </w:pPr>
    </w:p>
    <w:p w:rsidR="00C579BD" w:rsidRPr="00C579BD" w:rsidRDefault="00C579BD" w:rsidP="00C579BD">
      <w:pPr>
        <w:rPr>
          <w:rFonts w:ascii="Arial" w:eastAsia="Times New Roman" w:hAnsi="Arial" w:cs="Arial"/>
          <w:b/>
          <w:sz w:val="24"/>
          <w:szCs w:val="24"/>
          <w:lang w:eastAsia="en-GB"/>
        </w:rPr>
      </w:pPr>
    </w:p>
    <w:p w:rsidR="00C579BD" w:rsidRPr="00C579BD" w:rsidRDefault="00C579BD" w:rsidP="00C579BD">
      <w:pPr>
        <w:rPr>
          <w:rFonts w:ascii="Arial" w:eastAsia="Times New Roman" w:hAnsi="Arial" w:cs="Arial"/>
          <w:b/>
          <w:sz w:val="24"/>
          <w:szCs w:val="24"/>
          <w:lang w:eastAsia="en-GB"/>
        </w:rPr>
      </w:pPr>
    </w:p>
    <w:p w:rsidR="00C579BD" w:rsidRDefault="00C579BD">
      <w:pPr>
        <w:rPr>
          <w:rFonts w:ascii="Arial" w:hAnsi="Arial" w:cs="Arial"/>
          <w:b/>
          <w:sz w:val="24"/>
          <w:szCs w:val="24"/>
        </w:rPr>
      </w:pPr>
    </w:p>
    <w:p w:rsidR="00C579BD" w:rsidRDefault="00C579BD">
      <w:pPr>
        <w:rPr>
          <w:rFonts w:ascii="Arial" w:hAnsi="Arial" w:cs="Arial"/>
          <w:b/>
          <w:sz w:val="24"/>
          <w:szCs w:val="24"/>
        </w:rPr>
        <w:sectPr w:rsidR="00C579BD" w:rsidSect="00C579BD">
          <w:footerReference w:type="default" r:id="rId9"/>
          <w:pgSz w:w="11906" w:h="16838"/>
          <w:pgMar w:top="1440" w:right="1440" w:bottom="1440" w:left="1440" w:header="708" w:footer="708" w:gutter="0"/>
          <w:cols w:space="708"/>
          <w:titlePg/>
          <w:docGrid w:linePitch="360"/>
        </w:sectPr>
      </w:pPr>
    </w:p>
    <w:p w:rsidR="00F866E8" w:rsidRPr="00D80D50" w:rsidRDefault="00B3216C">
      <w:pPr>
        <w:rPr>
          <w:rFonts w:ascii="Arial" w:hAnsi="Arial" w:cs="Arial"/>
          <w:b/>
          <w:sz w:val="24"/>
          <w:szCs w:val="24"/>
        </w:rPr>
      </w:pPr>
      <w:r w:rsidRPr="00D80D50">
        <w:rPr>
          <w:rFonts w:ascii="Arial" w:hAnsi="Arial" w:cs="Arial"/>
          <w:b/>
          <w:sz w:val="24"/>
          <w:szCs w:val="24"/>
        </w:rPr>
        <w:lastRenderedPageBreak/>
        <w:t xml:space="preserve">Development Pressure Analysis of Fermanagh </w:t>
      </w:r>
      <w:r w:rsidR="00867E3F" w:rsidRPr="00D80D50">
        <w:rPr>
          <w:rFonts w:ascii="Arial" w:hAnsi="Arial" w:cs="Arial"/>
          <w:b/>
          <w:sz w:val="24"/>
          <w:szCs w:val="24"/>
        </w:rPr>
        <w:t xml:space="preserve">and </w:t>
      </w:r>
      <w:r w:rsidRPr="00D80D50">
        <w:rPr>
          <w:rFonts w:ascii="Arial" w:hAnsi="Arial" w:cs="Arial"/>
          <w:b/>
          <w:sz w:val="24"/>
          <w:szCs w:val="24"/>
        </w:rPr>
        <w:t xml:space="preserve">Omagh </w:t>
      </w:r>
      <w:r w:rsidR="00867E3F" w:rsidRPr="00D80D50">
        <w:rPr>
          <w:rFonts w:ascii="Arial" w:hAnsi="Arial" w:cs="Arial"/>
          <w:b/>
          <w:sz w:val="24"/>
          <w:szCs w:val="24"/>
        </w:rPr>
        <w:t xml:space="preserve">District </w:t>
      </w:r>
      <w:r w:rsidRPr="00D80D50">
        <w:rPr>
          <w:rFonts w:ascii="Arial" w:hAnsi="Arial" w:cs="Arial"/>
          <w:b/>
          <w:sz w:val="24"/>
          <w:szCs w:val="24"/>
        </w:rPr>
        <w:t xml:space="preserve">Council </w:t>
      </w:r>
    </w:p>
    <w:p w:rsidR="00B3216C" w:rsidRPr="00D80D50" w:rsidRDefault="00B3216C" w:rsidP="00B3216C">
      <w:pPr>
        <w:ind w:left="1440" w:hanging="1440"/>
        <w:rPr>
          <w:rFonts w:ascii="Arial" w:hAnsi="Arial" w:cs="Arial"/>
          <w:b/>
          <w:sz w:val="24"/>
          <w:szCs w:val="24"/>
        </w:rPr>
      </w:pPr>
      <w:r w:rsidRPr="00D80D50">
        <w:rPr>
          <w:rFonts w:ascii="Arial" w:hAnsi="Arial" w:cs="Arial"/>
          <w:b/>
          <w:sz w:val="24"/>
          <w:szCs w:val="24"/>
        </w:rPr>
        <w:t>Purpose:</w:t>
      </w:r>
      <w:r w:rsidRPr="00D80D50">
        <w:rPr>
          <w:rFonts w:ascii="Arial" w:hAnsi="Arial" w:cs="Arial"/>
          <w:b/>
          <w:sz w:val="24"/>
          <w:szCs w:val="24"/>
        </w:rPr>
        <w:tab/>
        <w:t>To provide members with a Development P</w:t>
      </w:r>
      <w:r w:rsidR="00D048E1">
        <w:rPr>
          <w:rFonts w:ascii="Arial" w:hAnsi="Arial" w:cs="Arial"/>
          <w:b/>
          <w:sz w:val="24"/>
          <w:szCs w:val="24"/>
        </w:rPr>
        <w:t>ressure Analysis for Fermanagh and</w:t>
      </w:r>
      <w:r w:rsidRPr="00D80D50">
        <w:rPr>
          <w:rFonts w:ascii="Arial" w:hAnsi="Arial" w:cs="Arial"/>
          <w:b/>
          <w:sz w:val="24"/>
          <w:szCs w:val="24"/>
        </w:rPr>
        <w:t xml:space="preserve"> Omagh Council, to identify those areas where significant development pressure has occurred and/or where local rural character is under threat. </w:t>
      </w:r>
    </w:p>
    <w:p w:rsidR="00B3216C" w:rsidRPr="00D80D50" w:rsidRDefault="00B3216C" w:rsidP="00B3216C">
      <w:pPr>
        <w:ind w:left="1440" w:hanging="1440"/>
        <w:rPr>
          <w:rFonts w:ascii="Arial" w:hAnsi="Arial" w:cs="Arial"/>
          <w:b/>
          <w:sz w:val="24"/>
          <w:szCs w:val="24"/>
        </w:rPr>
      </w:pPr>
      <w:r w:rsidRPr="00D80D50">
        <w:rPr>
          <w:rFonts w:ascii="Arial" w:hAnsi="Arial" w:cs="Arial"/>
          <w:b/>
          <w:sz w:val="24"/>
          <w:szCs w:val="24"/>
        </w:rPr>
        <w:t>Content:</w:t>
      </w:r>
      <w:r w:rsidRPr="00D80D50">
        <w:rPr>
          <w:rFonts w:ascii="Arial" w:hAnsi="Arial" w:cs="Arial"/>
          <w:b/>
          <w:sz w:val="24"/>
          <w:szCs w:val="24"/>
        </w:rPr>
        <w:tab/>
        <w:t>The paper provides information on:-</w:t>
      </w:r>
    </w:p>
    <w:p w:rsidR="00B3216C" w:rsidRPr="00D80D50" w:rsidRDefault="00F17475" w:rsidP="00B3216C">
      <w:pPr>
        <w:pStyle w:val="ListParagraph"/>
        <w:numPr>
          <w:ilvl w:val="0"/>
          <w:numId w:val="1"/>
        </w:numPr>
        <w:rPr>
          <w:rFonts w:ascii="Arial" w:hAnsi="Arial" w:cs="Arial"/>
          <w:b/>
          <w:sz w:val="24"/>
          <w:szCs w:val="24"/>
        </w:rPr>
      </w:pPr>
      <w:r w:rsidRPr="00D80D50">
        <w:rPr>
          <w:rFonts w:ascii="Arial" w:hAnsi="Arial" w:cs="Arial"/>
          <w:b/>
          <w:sz w:val="24"/>
          <w:szCs w:val="24"/>
        </w:rPr>
        <w:t>The Development P</w:t>
      </w:r>
      <w:r w:rsidR="00D048E1">
        <w:rPr>
          <w:rFonts w:ascii="Arial" w:hAnsi="Arial" w:cs="Arial"/>
          <w:b/>
          <w:sz w:val="24"/>
          <w:szCs w:val="24"/>
        </w:rPr>
        <w:t>ressure Analysis for Fermanagh and</w:t>
      </w:r>
      <w:r w:rsidRPr="00D80D50">
        <w:rPr>
          <w:rFonts w:ascii="Arial" w:hAnsi="Arial" w:cs="Arial"/>
          <w:b/>
          <w:sz w:val="24"/>
          <w:szCs w:val="24"/>
        </w:rPr>
        <w:t xml:space="preserve"> Omagh District, and the key findings;</w:t>
      </w:r>
    </w:p>
    <w:p w:rsidR="00F17475" w:rsidRPr="00D80D50" w:rsidRDefault="00F17475" w:rsidP="00B3216C">
      <w:pPr>
        <w:pStyle w:val="ListParagraph"/>
        <w:numPr>
          <w:ilvl w:val="0"/>
          <w:numId w:val="1"/>
        </w:numPr>
        <w:rPr>
          <w:rFonts w:ascii="Arial" w:hAnsi="Arial" w:cs="Arial"/>
          <w:b/>
          <w:sz w:val="24"/>
          <w:szCs w:val="24"/>
        </w:rPr>
      </w:pPr>
      <w:r w:rsidRPr="00D80D50">
        <w:rPr>
          <w:rFonts w:ascii="Arial" w:hAnsi="Arial" w:cs="Arial"/>
          <w:b/>
          <w:sz w:val="24"/>
          <w:szCs w:val="24"/>
        </w:rPr>
        <w:t xml:space="preserve">Areas within the district which have experienced significant development pressure due to individual ‘single dwelling’ planning applications, and also wind energy applications. </w:t>
      </w:r>
    </w:p>
    <w:p w:rsidR="00F17475" w:rsidRPr="00D80D50" w:rsidRDefault="00F17475" w:rsidP="00B3216C">
      <w:pPr>
        <w:pStyle w:val="ListParagraph"/>
        <w:numPr>
          <w:ilvl w:val="0"/>
          <w:numId w:val="1"/>
        </w:numPr>
        <w:rPr>
          <w:rFonts w:ascii="Arial" w:hAnsi="Arial" w:cs="Arial"/>
          <w:b/>
          <w:sz w:val="24"/>
          <w:szCs w:val="24"/>
        </w:rPr>
      </w:pPr>
      <w:r w:rsidRPr="00D80D50">
        <w:rPr>
          <w:rFonts w:ascii="Arial" w:hAnsi="Arial" w:cs="Arial"/>
          <w:b/>
          <w:sz w:val="24"/>
          <w:szCs w:val="24"/>
        </w:rPr>
        <w:t>Development pressures in the context of the environmental designations and landscape character areas within the district</w:t>
      </w:r>
    </w:p>
    <w:p w:rsidR="00F17475" w:rsidRPr="00D80D50" w:rsidRDefault="00F17475" w:rsidP="00B3216C">
      <w:pPr>
        <w:pStyle w:val="ListParagraph"/>
        <w:numPr>
          <w:ilvl w:val="0"/>
          <w:numId w:val="1"/>
        </w:numPr>
        <w:rPr>
          <w:rFonts w:ascii="Arial" w:hAnsi="Arial" w:cs="Arial"/>
          <w:b/>
          <w:sz w:val="24"/>
          <w:szCs w:val="24"/>
        </w:rPr>
      </w:pPr>
      <w:r w:rsidRPr="00D80D50">
        <w:rPr>
          <w:rFonts w:ascii="Arial" w:hAnsi="Arial" w:cs="Arial"/>
          <w:b/>
          <w:sz w:val="24"/>
          <w:szCs w:val="24"/>
        </w:rPr>
        <w:t>A resultant overview of the effect on what could be termed as ‘vulnerable landscapes’ as a result of this study.</w:t>
      </w:r>
    </w:p>
    <w:p w:rsidR="00A51EB0" w:rsidRPr="002307CD" w:rsidRDefault="00A51EB0" w:rsidP="009F0C6F">
      <w:pPr>
        <w:ind w:left="2160" w:hanging="2160"/>
        <w:rPr>
          <w:rFonts w:ascii="Arial" w:hAnsi="Arial" w:cs="Arial"/>
          <w:sz w:val="24"/>
          <w:szCs w:val="24"/>
        </w:rPr>
      </w:pPr>
    </w:p>
    <w:p w:rsidR="00F17475" w:rsidRPr="002307CD" w:rsidRDefault="00F17475" w:rsidP="00F17475">
      <w:pPr>
        <w:pStyle w:val="ListParagraph"/>
        <w:numPr>
          <w:ilvl w:val="0"/>
          <w:numId w:val="2"/>
        </w:numPr>
        <w:rPr>
          <w:rFonts w:ascii="Arial" w:hAnsi="Arial" w:cs="Arial"/>
          <w:b/>
          <w:sz w:val="28"/>
          <w:szCs w:val="28"/>
        </w:rPr>
      </w:pPr>
      <w:r w:rsidRPr="002307CD">
        <w:rPr>
          <w:rFonts w:ascii="Arial" w:hAnsi="Arial" w:cs="Arial"/>
          <w:b/>
          <w:sz w:val="28"/>
          <w:szCs w:val="28"/>
        </w:rPr>
        <w:t>Introduction</w:t>
      </w:r>
    </w:p>
    <w:p w:rsidR="00786138" w:rsidRPr="00D80D50" w:rsidRDefault="00786138" w:rsidP="00786138">
      <w:pPr>
        <w:pStyle w:val="ListParagraph"/>
        <w:rPr>
          <w:rFonts w:ascii="Arial" w:hAnsi="Arial" w:cs="Arial"/>
          <w:sz w:val="24"/>
          <w:szCs w:val="24"/>
        </w:rPr>
      </w:pPr>
    </w:p>
    <w:p w:rsidR="00897D1D" w:rsidRDefault="00F17475" w:rsidP="00384661">
      <w:pPr>
        <w:pStyle w:val="ListParagraph"/>
        <w:numPr>
          <w:ilvl w:val="1"/>
          <w:numId w:val="2"/>
        </w:numPr>
        <w:ind w:left="709" w:hanging="709"/>
        <w:rPr>
          <w:rFonts w:ascii="Arial" w:hAnsi="Arial" w:cs="Arial"/>
          <w:sz w:val="24"/>
          <w:szCs w:val="24"/>
        </w:rPr>
      </w:pPr>
      <w:r w:rsidRPr="00D80D50">
        <w:rPr>
          <w:rFonts w:ascii="Arial" w:hAnsi="Arial" w:cs="Arial"/>
          <w:sz w:val="24"/>
          <w:szCs w:val="24"/>
        </w:rPr>
        <w:t xml:space="preserve">This </w:t>
      </w:r>
      <w:r w:rsidR="00F84067" w:rsidRPr="00D80D50">
        <w:rPr>
          <w:rFonts w:ascii="Arial" w:hAnsi="Arial" w:cs="Arial"/>
          <w:sz w:val="24"/>
          <w:szCs w:val="24"/>
        </w:rPr>
        <w:t xml:space="preserve">Development </w:t>
      </w:r>
      <w:r w:rsidRPr="00D80D50">
        <w:rPr>
          <w:rFonts w:ascii="Arial" w:hAnsi="Arial" w:cs="Arial"/>
          <w:sz w:val="24"/>
          <w:szCs w:val="24"/>
        </w:rPr>
        <w:t xml:space="preserve">Pressure Analysis is </w:t>
      </w:r>
      <w:r w:rsidR="00F84067" w:rsidRPr="00D80D50">
        <w:rPr>
          <w:rFonts w:ascii="Arial" w:hAnsi="Arial" w:cs="Arial"/>
          <w:sz w:val="24"/>
          <w:szCs w:val="24"/>
        </w:rPr>
        <w:t>one of the four strands of the Countryside Assessment, which includes Settlement Appraisals, E</w:t>
      </w:r>
      <w:r w:rsidR="00945B7C" w:rsidRPr="00D80D50">
        <w:rPr>
          <w:rFonts w:ascii="Arial" w:hAnsi="Arial" w:cs="Arial"/>
          <w:sz w:val="24"/>
          <w:szCs w:val="24"/>
        </w:rPr>
        <w:t>nvir</w:t>
      </w:r>
      <w:r w:rsidR="00F84067" w:rsidRPr="00D80D50">
        <w:rPr>
          <w:rFonts w:ascii="Arial" w:hAnsi="Arial" w:cs="Arial"/>
          <w:sz w:val="24"/>
          <w:szCs w:val="24"/>
        </w:rPr>
        <w:t>onmental Assets, and L</w:t>
      </w:r>
      <w:r w:rsidR="00945B7C" w:rsidRPr="00D80D50">
        <w:rPr>
          <w:rFonts w:ascii="Arial" w:hAnsi="Arial" w:cs="Arial"/>
          <w:sz w:val="24"/>
          <w:szCs w:val="24"/>
        </w:rPr>
        <w:t xml:space="preserve">andscape </w:t>
      </w:r>
      <w:r w:rsidR="00F84067" w:rsidRPr="00D80D50">
        <w:rPr>
          <w:rFonts w:ascii="Arial" w:hAnsi="Arial" w:cs="Arial"/>
          <w:sz w:val="24"/>
          <w:szCs w:val="24"/>
        </w:rPr>
        <w:t>Character A</w:t>
      </w:r>
      <w:r w:rsidR="00945B7C" w:rsidRPr="00D80D50">
        <w:rPr>
          <w:rFonts w:ascii="Arial" w:hAnsi="Arial" w:cs="Arial"/>
          <w:sz w:val="24"/>
          <w:szCs w:val="24"/>
        </w:rPr>
        <w:t>ssessment</w:t>
      </w:r>
      <w:r w:rsidR="00F84067" w:rsidRPr="00D80D50">
        <w:rPr>
          <w:rFonts w:ascii="Arial" w:hAnsi="Arial" w:cs="Arial"/>
          <w:sz w:val="24"/>
          <w:szCs w:val="24"/>
        </w:rPr>
        <w:t>.</w:t>
      </w:r>
      <w:r w:rsidR="00897D1D">
        <w:rPr>
          <w:rFonts w:ascii="Arial" w:hAnsi="Arial" w:cs="Arial"/>
          <w:sz w:val="24"/>
          <w:szCs w:val="24"/>
        </w:rPr>
        <w:t xml:space="preserve"> </w:t>
      </w:r>
    </w:p>
    <w:p w:rsidR="00897D1D" w:rsidRPr="00897D1D" w:rsidRDefault="00897D1D" w:rsidP="00384661">
      <w:pPr>
        <w:pStyle w:val="ListParagraph"/>
        <w:ind w:left="709"/>
        <w:rPr>
          <w:rFonts w:ascii="Arial" w:hAnsi="Arial" w:cs="Arial"/>
          <w:sz w:val="24"/>
          <w:szCs w:val="24"/>
        </w:rPr>
      </w:pPr>
    </w:p>
    <w:p w:rsidR="004449F6" w:rsidRPr="00D80D50" w:rsidRDefault="004D4EB0" w:rsidP="00384661">
      <w:pPr>
        <w:pStyle w:val="ListParagraph"/>
        <w:numPr>
          <w:ilvl w:val="1"/>
          <w:numId w:val="2"/>
        </w:numPr>
        <w:ind w:left="709" w:hanging="709"/>
        <w:rPr>
          <w:rFonts w:ascii="Arial" w:hAnsi="Arial" w:cs="Arial"/>
          <w:sz w:val="24"/>
          <w:szCs w:val="24"/>
        </w:rPr>
      </w:pPr>
      <w:r w:rsidRPr="00D80D50">
        <w:rPr>
          <w:rFonts w:ascii="Arial" w:hAnsi="Arial" w:cs="Arial"/>
          <w:sz w:val="24"/>
          <w:szCs w:val="24"/>
        </w:rPr>
        <w:t xml:space="preserve">This </w:t>
      </w:r>
      <w:r w:rsidR="00F84067" w:rsidRPr="00D80D50">
        <w:rPr>
          <w:rFonts w:ascii="Arial" w:hAnsi="Arial" w:cs="Arial"/>
          <w:sz w:val="24"/>
          <w:szCs w:val="24"/>
        </w:rPr>
        <w:t>Development P</w:t>
      </w:r>
      <w:r w:rsidRPr="00D80D50">
        <w:rPr>
          <w:rFonts w:ascii="Arial" w:hAnsi="Arial" w:cs="Arial"/>
          <w:sz w:val="24"/>
          <w:szCs w:val="24"/>
        </w:rPr>
        <w:t xml:space="preserve">ressure </w:t>
      </w:r>
      <w:r w:rsidR="00F84067" w:rsidRPr="00D80D50">
        <w:rPr>
          <w:rFonts w:ascii="Arial" w:hAnsi="Arial" w:cs="Arial"/>
          <w:sz w:val="24"/>
          <w:szCs w:val="24"/>
        </w:rPr>
        <w:t>A</w:t>
      </w:r>
      <w:r w:rsidR="00945B7C" w:rsidRPr="00D80D50">
        <w:rPr>
          <w:rFonts w:ascii="Arial" w:hAnsi="Arial" w:cs="Arial"/>
          <w:sz w:val="24"/>
          <w:szCs w:val="24"/>
        </w:rPr>
        <w:t>nalysis, seeks to identify areas where significant development pressure has occurred and/or where local rural character is under threat of significant change. To carry out this analysis, typically involves looking at the distribution of single rural dwellings in the countryside</w:t>
      </w:r>
      <w:r w:rsidRPr="00D80D50">
        <w:rPr>
          <w:rFonts w:ascii="Arial" w:hAnsi="Arial" w:cs="Arial"/>
          <w:sz w:val="24"/>
          <w:szCs w:val="24"/>
        </w:rPr>
        <w:t>. Additionally,</w:t>
      </w:r>
      <w:r w:rsidR="00945B7C" w:rsidRPr="00D80D50">
        <w:rPr>
          <w:rFonts w:ascii="Arial" w:hAnsi="Arial" w:cs="Arial"/>
          <w:sz w:val="24"/>
          <w:szCs w:val="24"/>
        </w:rPr>
        <w:t xml:space="preserve"> wind energy applications are also examined, since these types of application have been </w:t>
      </w:r>
      <w:r w:rsidRPr="00D80D50">
        <w:rPr>
          <w:rFonts w:ascii="Arial" w:hAnsi="Arial" w:cs="Arial"/>
          <w:sz w:val="24"/>
          <w:szCs w:val="24"/>
        </w:rPr>
        <w:t>increasingly</w:t>
      </w:r>
      <w:r w:rsidR="00945B7C" w:rsidRPr="00D80D50">
        <w:rPr>
          <w:rFonts w:ascii="Arial" w:hAnsi="Arial" w:cs="Arial"/>
          <w:sz w:val="24"/>
          <w:szCs w:val="24"/>
        </w:rPr>
        <w:t xml:space="preserve"> prevalent in recent years and have the ability to have a significant visual impact upon the rural countryside area, and thus have a cumulative impact upon the issues to be considered as part of the aforementioned strands of the Countryside Assessment. </w:t>
      </w:r>
    </w:p>
    <w:p w:rsidR="004449F6" w:rsidRPr="00D80D50" w:rsidRDefault="004449F6" w:rsidP="00384661">
      <w:pPr>
        <w:pStyle w:val="ListParagraph"/>
        <w:rPr>
          <w:rFonts w:ascii="Arial" w:hAnsi="Arial" w:cs="Arial"/>
          <w:sz w:val="24"/>
          <w:szCs w:val="24"/>
        </w:rPr>
      </w:pPr>
    </w:p>
    <w:p w:rsidR="0028528A" w:rsidRDefault="00D048E1" w:rsidP="00384661">
      <w:pPr>
        <w:pStyle w:val="ListParagraph"/>
        <w:numPr>
          <w:ilvl w:val="1"/>
          <w:numId w:val="2"/>
        </w:numPr>
        <w:ind w:left="709" w:hanging="709"/>
        <w:rPr>
          <w:rFonts w:ascii="Arial" w:hAnsi="Arial" w:cs="Arial"/>
          <w:sz w:val="24"/>
          <w:szCs w:val="24"/>
        </w:rPr>
      </w:pPr>
      <w:r>
        <w:rPr>
          <w:rFonts w:ascii="Arial" w:hAnsi="Arial" w:cs="Arial"/>
          <w:sz w:val="24"/>
          <w:szCs w:val="24"/>
        </w:rPr>
        <w:t>D</w:t>
      </w:r>
      <w:r w:rsidR="004449F6" w:rsidRPr="00D80D50">
        <w:rPr>
          <w:rFonts w:ascii="Arial" w:hAnsi="Arial" w:cs="Arial"/>
          <w:sz w:val="24"/>
          <w:szCs w:val="24"/>
        </w:rPr>
        <w:t>evelopment categories other than single dwellings and wind energy, can have an impact upon the visual amenity and character of our countryside area, and these activities can includ</w:t>
      </w:r>
      <w:r w:rsidR="00F84067" w:rsidRPr="00D80D50">
        <w:rPr>
          <w:rFonts w:ascii="Arial" w:hAnsi="Arial" w:cs="Arial"/>
          <w:sz w:val="24"/>
          <w:szCs w:val="24"/>
        </w:rPr>
        <w:t>e agriculture, mineral extraction</w:t>
      </w:r>
      <w:r w:rsidR="004449F6" w:rsidRPr="00D80D50">
        <w:rPr>
          <w:rFonts w:ascii="Arial" w:hAnsi="Arial" w:cs="Arial"/>
          <w:sz w:val="24"/>
          <w:szCs w:val="24"/>
        </w:rPr>
        <w:t xml:space="preserve"> and i</w:t>
      </w:r>
      <w:r w:rsidR="00F84067" w:rsidRPr="00D80D50">
        <w:rPr>
          <w:rFonts w:ascii="Arial" w:hAnsi="Arial" w:cs="Arial"/>
          <w:sz w:val="24"/>
          <w:szCs w:val="24"/>
        </w:rPr>
        <w:t>ndustrial type development. These</w:t>
      </w:r>
      <w:r w:rsidR="004449F6" w:rsidRPr="00D80D50">
        <w:rPr>
          <w:rFonts w:ascii="Arial" w:hAnsi="Arial" w:cs="Arial"/>
          <w:sz w:val="24"/>
          <w:szCs w:val="24"/>
        </w:rPr>
        <w:t xml:space="preserve"> type</w:t>
      </w:r>
      <w:r w:rsidR="00F84067" w:rsidRPr="00D80D50">
        <w:rPr>
          <w:rFonts w:ascii="Arial" w:hAnsi="Arial" w:cs="Arial"/>
          <w:sz w:val="24"/>
          <w:szCs w:val="24"/>
        </w:rPr>
        <w:t>s of development are</w:t>
      </w:r>
      <w:r w:rsidR="004449F6" w:rsidRPr="00D80D50">
        <w:rPr>
          <w:rFonts w:ascii="Arial" w:hAnsi="Arial" w:cs="Arial"/>
          <w:sz w:val="24"/>
          <w:szCs w:val="24"/>
        </w:rPr>
        <w:t xml:space="preserve"> widely acknowledged to be sufficiently controlled by </w:t>
      </w:r>
      <w:r w:rsidR="00F84067" w:rsidRPr="00D80D50">
        <w:rPr>
          <w:rFonts w:ascii="Arial" w:hAnsi="Arial" w:cs="Arial"/>
          <w:sz w:val="24"/>
          <w:szCs w:val="24"/>
        </w:rPr>
        <w:t xml:space="preserve">prevailing </w:t>
      </w:r>
      <w:r w:rsidR="004449F6" w:rsidRPr="00D80D50">
        <w:rPr>
          <w:rFonts w:ascii="Arial" w:hAnsi="Arial" w:cs="Arial"/>
          <w:sz w:val="24"/>
          <w:szCs w:val="24"/>
        </w:rPr>
        <w:t xml:space="preserve">regional policy. Additionally, any emerging policy which may be </w:t>
      </w:r>
      <w:r w:rsidR="00F84067" w:rsidRPr="00D80D50">
        <w:rPr>
          <w:rFonts w:ascii="Arial" w:hAnsi="Arial" w:cs="Arial"/>
          <w:sz w:val="24"/>
          <w:szCs w:val="24"/>
        </w:rPr>
        <w:t>brought forward</w:t>
      </w:r>
      <w:r w:rsidR="004449F6" w:rsidRPr="00D80D50">
        <w:rPr>
          <w:rFonts w:ascii="Arial" w:hAnsi="Arial" w:cs="Arial"/>
          <w:sz w:val="24"/>
          <w:szCs w:val="24"/>
        </w:rPr>
        <w:t xml:space="preserve"> by the Local Development Plan will tailor any local guidance to manage what is </w:t>
      </w:r>
      <w:r w:rsidR="00F84067" w:rsidRPr="00D80D50">
        <w:rPr>
          <w:rFonts w:ascii="Arial" w:hAnsi="Arial" w:cs="Arial"/>
          <w:sz w:val="24"/>
          <w:szCs w:val="24"/>
        </w:rPr>
        <w:t xml:space="preserve">considered </w:t>
      </w:r>
      <w:r w:rsidR="004449F6" w:rsidRPr="00D80D50">
        <w:rPr>
          <w:rFonts w:ascii="Arial" w:hAnsi="Arial" w:cs="Arial"/>
          <w:sz w:val="24"/>
          <w:szCs w:val="24"/>
        </w:rPr>
        <w:t xml:space="preserve">to be ‘unsatisfactory development’ which has an adverse impact on rural character. </w:t>
      </w:r>
    </w:p>
    <w:p w:rsidR="004449F6" w:rsidRPr="00D80D50" w:rsidRDefault="004449F6" w:rsidP="00384661">
      <w:pPr>
        <w:pStyle w:val="ListParagraph"/>
        <w:ind w:left="709"/>
        <w:rPr>
          <w:rFonts w:ascii="Arial" w:hAnsi="Arial" w:cs="Arial"/>
          <w:sz w:val="24"/>
          <w:szCs w:val="24"/>
        </w:rPr>
      </w:pPr>
      <w:r w:rsidRPr="00D80D50">
        <w:rPr>
          <w:rFonts w:ascii="Arial" w:hAnsi="Arial" w:cs="Arial"/>
          <w:sz w:val="24"/>
          <w:szCs w:val="24"/>
        </w:rPr>
        <w:t xml:space="preserve"> </w:t>
      </w:r>
    </w:p>
    <w:p w:rsidR="004D4EB0" w:rsidRPr="00D80D50" w:rsidRDefault="0028528A" w:rsidP="00384661">
      <w:pPr>
        <w:pStyle w:val="ListParagraph"/>
        <w:numPr>
          <w:ilvl w:val="1"/>
          <w:numId w:val="2"/>
        </w:numPr>
        <w:ind w:left="709" w:hanging="709"/>
        <w:rPr>
          <w:rFonts w:ascii="Arial" w:hAnsi="Arial" w:cs="Arial"/>
          <w:sz w:val="24"/>
          <w:szCs w:val="24"/>
        </w:rPr>
      </w:pPr>
      <w:r>
        <w:rPr>
          <w:rFonts w:ascii="Arial" w:hAnsi="Arial" w:cs="Arial"/>
          <w:sz w:val="24"/>
          <w:szCs w:val="24"/>
        </w:rPr>
        <w:lastRenderedPageBreak/>
        <w:t>The</w:t>
      </w:r>
      <w:r w:rsidR="004D4EB0" w:rsidRPr="00D80D50">
        <w:rPr>
          <w:rFonts w:ascii="Arial" w:hAnsi="Arial" w:cs="Arial"/>
          <w:sz w:val="24"/>
          <w:szCs w:val="24"/>
        </w:rPr>
        <w:t xml:space="preserve"> value of the pressure analysis will be primarily in assisting to identify </w:t>
      </w:r>
      <w:r w:rsidR="00340EBD" w:rsidRPr="00D80D50">
        <w:rPr>
          <w:rFonts w:ascii="Arial" w:hAnsi="Arial" w:cs="Arial"/>
          <w:sz w:val="24"/>
          <w:szCs w:val="24"/>
        </w:rPr>
        <w:t xml:space="preserve">areas of exceptional landscape (for example, parts of the AONB) </w:t>
      </w:r>
      <w:r>
        <w:rPr>
          <w:rFonts w:ascii="Arial" w:hAnsi="Arial" w:cs="Arial"/>
          <w:sz w:val="24"/>
          <w:szCs w:val="24"/>
        </w:rPr>
        <w:t xml:space="preserve">and to </w:t>
      </w:r>
      <w:r w:rsidRPr="006E0CF0">
        <w:rPr>
          <w:rFonts w:ascii="Arial" w:hAnsi="Arial" w:cs="Arial"/>
          <w:color w:val="000000" w:themeColor="text1"/>
          <w:sz w:val="24"/>
          <w:szCs w:val="24"/>
        </w:rPr>
        <w:t>help to identify areas of landscape that are particularly vulnerable to any development and which are of high scenic value with the view to designating them as Special Countryside Areas</w:t>
      </w:r>
      <w:r w:rsidRPr="00D80D50">
        <w:rPr>
          <w:rFonts w:ascii="Arial" w:hAnsi="Arial" w:cs="Arial"/>
          <w:sz w:val="24"/>
          <w:szCs w:val="24"/>
        </w:rPr>
        <w:t xml:space="preserve"> </w:t>
      </w:r>
      <w:r w:rsidR="00340EBD" w:rsidRPr="00D80D50">
        <w:rPr>
          <w:rFonts w:ascii="Arial" w:hAnsi="Arial" w:cs="Arial"/>
          <w:sz w:val="24"/>
          <w:szCs w:val="24"/>
        </w:rPr>
        <w:t xml:space="preserve">which may need a stronger rural policy approach in regard to new development. </w:t>
      </w:r>
    </w:p>
    <w:p w:rsidR="002225B8" w:rsidRPr="00D80D50" w:rsidRDefault="002225B8" w:rsidP="00384661">
      <w:pPr>
        <w:pStyle w:val="ListParagraph"/>
        <w:rPr>
          <w:rFonts w:ascii="Arial" w:hAnsi="Arial" w:cs="Arial"/>
          <w:sz w:val="24"/>
          <w:szCs w:val="24"/>
        </w:rPr>
      </w:pPr>
    </w:p>
    <w:p w:rsidR="001F328A" w:rsidRDefault="003912E9" w:rsidP="00384661">
      <w:pPr>
        <w:pStyle w:val="ListParagraph"/>
        <w:numPr>
          <w:ilvl w:val="1"/>
          <w:numId w:val="2"/>
        </w:numPr>
        <w:ind w:left="720" w:hanging="709"/>
        <w:rPr>
          <w:rFonts w:ascii="Arial" w:hAnsi="Arial" w:cs="Arial"/>
          <w:sz w:val="24"/>
          <w:szCs w:val="24"/>
        </w:rPr>
      </w:pPr>
      <w:r>
        <w:rPr>
          <w:rFonts w:ascii="Arial" w:hAnsi="Arial" w:cs="Arial"/>
          <w:sz w:val="24"/>
          <w:szCs w:val="24"/>
        </w:rPr>
        <w:t>‘T</w:t>
      </w:r>
      <w:r w:rsidR="002225B8" w:rsidRPr="00D80D50">
        <w:rPr>
          <w:rFonts w:ascii="Arial" w:hAnsi="Arial" w:cs="Arial"/>
          <w:sz w:val="24"/>
          <w:szCs w:val="24"/>
        </w:rPr>
        <w:t>he countryside</w:t>
      </w:r>
      <w:r w:rsidR="00CB3B99" w:rsidRPr="00D80D50">
        <w:rPr>
          <w:rFonts w:ascii="Arial" w:hAnsi="Arial" w:cs="Arial"/>
          <w:sz w:val="24"/>
          <w:szCs w:val="24"/>
        </w:rPr>
        <w:t xml:space="preserve">’ </w:t>
      </w:r>
      <w:r w:rsidR="00340EBD" w:rsidRPr="00D80D50">
        <w:rPr>
          <w:rFonts w:ascii="Arial" w:hAnsi="Arial" w:cs="Arial"/>
          <w:sz w:val="24"/>
          <w:szCs w:val="24"/>
        </w:rPr>
        <w:t>as referred to in this paper</w:t>
      </w:r>
      <w:r w:rsidR="002225B8" w:rsidRPr="00D80D50">
        <w:rPr>
          <w:rFonts w:ascii="Arial" w:hAnsi="Arial" w:cs="Arial"/>
          <w:sz w:val="24"/>
          <w:szCs w:val="24"/>
        </w:rPr>
        <w:t xml:space="preserve">, </w:t>
      </w:r>
      <w:r w:rsidR="001F328A" w:rsidRPr="00D80D50">
        <w:rPr>
          <w:rFonts w:ascii="Arial" w:hAnsi="Arial" w:cs="Arial"/>
          <w:sz w:val="24"/>
          <w:szCs w:val="24"/>
        </w:rPr>
        <w:t xml:space="preserve">is defined as </w:t>
      </w:r>
      <w:r w:rsidR="002225B8" w:rsidRPr="00D80D50">
        <w:rPr>
          <w:rFonts w:ascii="Arial" w:hAnsi="Arial" w:cs="Arial"/>
          <w:sz w:val="24"/>
          <w:szCs w:val="24"/>
        </w:rPr>
        <w:t xml:space="preserve">the land outside of </w:t>
      </w:r>
      <w:r w:rsidR="001F328A" w:rsidRPr="00D80D50">
        <w:rPr>
          <w:rFonts w:ascii="Arial" w:hAnsi="Arial" w:cs="Arial"/>
          <w:sz w:val="24"/>
          <w:szCs w:val="24"/>
        </w:rPr>
        <w:t xml:space="preserve">the </w:t>
      </w:r>
      <w:r w:rsidR="002225B8" w:rsidRPr="00D80D50">
        <w:rPr>
          <w:rFonts w:ascii="Arial" w:hAnsi="Arial" w:cs="Arial"/>
          <w:sz w:val="24"/>
          <w:szCs w:val="24"/>
        </w:rPr>
        <w:t xml:space="preserve">designated settlements (as </w:t>
      </w:r>
      <w:r w:rsidR="001F328A" w:rsidRPr="00D80D50">
        <w:rPr>
          <w:rFonts w:ascii="Arial" w:hAnsi="Arial" w:cs="Arial"/>
          <w:sz w:val="24"/>
          <w:szCs w:val="24"/>
        </w:rPr>
        <w:t xml:space="preserve">defined in </w:t>
      </w:r>
      <w:r w:rsidR="002225B8" w:rsidRPr="00D80D50">
        <w:rPr>
          <w:rFonts w:ascii="Arial" w:hAnsi="Arial" w:cs="Arial"/>
          <w:sz w:val="24"/>
          <w:szCs w:val="24"/>
        </w:rPr>
        <w:t>the existing Fe</w:t>
      </w:r>
      <w:r w:rsidR="00CB3B99" w:rsidRPr="00D80D50">
        <w:rPr>
          <w:rFonts w:ascii="Arial" w:hAnsi="Arial" w:cs="Arial"/>
          <w:sz w:val="24"/>
          <w:szCs w:val="24"/>
        </w:rPr>
        <w:t>rmanagh Area Plan and Omagh Area Plan</w:t>
      </w:r>
      <w:r w:rsidR="002C08C2" w:rsidRPr="00D80D50">
        <w:rPr>
          <w:rFonts w:ascii="Arial" w:hAnsi="Arial" w:cs="Arial"/>
          <w:sz w:val="24"/>
          <w:szCs w:val="24"/>
        </w:rPr>
        <w:t>)</w:t>
      </w:r>
      <w:r w:rsidR="001F328A" w:rsidRPr="00D80D50">
        <w:rPr>
          <w:rFonts w:ascii="Arial" w:hAnsi="Arial" w:cs="Arial"/>
          <w:sz w:val="24"/>
          <w:szCs w:val="24"/>
        </w:rPr>
        <w:t xml:space="preserve"> and focuses</w:t>
      </w:r>
      <w:r>
        <w:rPr>
          <w:rFonts w:ascii="Arial" w:hAnsi="Arial" w:cs="Arial"/>
          <w:sz w:val="24"/>
          <w:szCs w:val="24"/>
        </w:rPr>
        <w:t xml:space="preserve"> </w:t>
      </w:r>
      <w:r w:rsidR="001F328A" w:rsidRPr="00D80D50">
        <w:rPr>
          <w:rFonts w:ascii="Arial" w:hAnsi="Arial" w:cs="Arial"/>
          <w:sz w:val="24"/>
          <w:szCs w:val="24"/>
        </w:rPr>
        <w:t>upon single dwelling applications in this area, as well as the wi</w:t>
      </w:r>
      <w:r w:rsidR="00340EBD" w:rsidRPr="00D80D50">
        <w:rPr>
          <w:rFonts w:ascii="Arial" w:hAnsi="Arial" w:cs="Arial"/>
          <w:sz w:val="24"/>
          <w:szCs w:val="24"/>
        </w:rPr>
        <w:t xml:space="preserve">nd energy development proposals. </w:t>
      </w:r>
    </w:p>
    <w:p w:rsidR="00384661" w:rsidRDefault="00384661" w:rsidP="00384661">
      <w:pPr>
        <w:pStyle w:val="ListParagraph"/>
        <w:rPr>
          <w:rFonts w:ascii="Arial" w:hAnsi="Arial" w:cs="Arial"/>
          <w:sz w:val="24"/>
          <w:szCs w:val="24"/>
        </w:rPr>
      </w:pPr>
    </w:p>
    <w:p w:rsidR="00384661" w:rsidRPr="002307CD" w:rsidRDefault="00384661" w:rsidP="00384661">
      <w:pPr>
        <w:pStyle w:val="ListParagraph"/>
        <w:numPr>
          <w:ilvl w:val="0"/>
          <w:numId w:val="2"/>
        </w:numPr>
        <w:rPr>
          <w:rFonts w:ascii="Arial" w:hAnsi="Arial" w:cs="Arial"/>
          <w:b/>
          <w:sz w:val="28"/>
          <w:szCs w:val="28"/>
        </w:rPr>
      </w:pPr>
      <w:r w:rsidRPr="002307CD">
        <w:rPr>
          <w:rFonts w:ascii="Arial" w:hAnsi="Arial" w:cs="Arial"/>
          <w:b/>
          <w:sz w:val="28"/>
          <w:szCs w:val="28"/>
        </w:rPr>
        <w:t>Regional Planning Policy</w:t>
      </w:r>
    </w:p>
    <w:p w:rsidR="00384661" w:rsidRDefault="00384661" w:rsidP="00384661">
      <w:pPr>
        <w:ind w:left="709" w:hanging="709"/>
        <w:rPr>
          <w:rFonts w:ascii="Arial" w:hAnsi="Arial" w:cs="Arial"/>
          <w:sz w:val="24"/>
          <w:szCs w:val="24"/>
        </w:rPr>
      </w:pPr>
      <w:r w:rsidRPr="002307CD">
        <w:rPr>
          <w:rFonts w:ascii="Arial" w:hAnsi="Arial" w:cs="Arial"/>
          <w:sz w:val="24"/>
          <w:szCs w:val="24"/>
        </w:rPr>
        <w:t>2.1</w:t>
      </w:r>
      <w:r w:rsidRPr="009C0AA3">
        <w:rPr>
          <w:rFonts w:ascii="Arial" w:hAnsi="Arial" w:cs="Arial"/>
        </w:rPr>
        <w:tab/>
      </w:r>
      <w:r w:rsidRPr="00F866E8">
        <w:rPr>
          <w:rFonts w:ascii="Arial" w:hAnsi="Arial" w:cs="Arial"/>
          <w:sz w:val="24"/>
          <w:szCs w:val="24"/>
        </w:rPr>
        <w:t>The Strategic Planning Policy Statement for Northern Ireland (SPPS) places S</w:t>
      </w:r>
      <w:r>
        <w:rPr>
          <w:rFonts w:ascii="Arial" w:hAnsi="Arial" w:cs="Arial"/>
          <w:sz w:val="24"/>
          <w:szCs w:val="24"/>
        </w:rPr>
        <w:t>ustainable Development at the heart of the planning system.  The SPPS sets out the need to protect and enhance the built and natural environment, including landscape character.  The SPPS states that our environment must be managed in a sustainable manner in accordance with</w:t>
      </w:r>
      <w:r w:rsidR="008B4ABE">
        <w:rPr>
          <w:rFonts w:ascii="Arial" w:hAnsi="Arial" w:cs="Arial"/>
          <w:sz w:val="24"/>
          <w:szCs w:val="24"/>
        </w:rPr>
        <w:t xml:space="preserve"> the Northern Ireland</w:t>
      </w:r>
      <w:r>
        <w:rPr>
          <w:rFonts w:ascii="Arial" w:hAnsi="Arial" w:cs="Arial"/>
          <w:sz w:val="24"/>
          <w:szCs w:val="24"/>
        </w:rPr>
        <w:t xml:space="preserve"> Executive’s commitment to preserve and improve the built and natural environment and halt the loss of biodiversity.</w:t>
      </w:r>
    </w:p>
    <w:p w:rsidR="00384661" w:rsidRPr="00F169A3" w:rsidRDefault="00384661" w:rsidP="00384661">
      <w:pPr>
        <w:ind w:left="709" w:hanging="709"/>
        <w:rPr>
          <w:rFonts w:ascii="Arial" w:hAnsi="Arial" w:cs="Arial"/>
          <w:sz w:val="24"/>
          <w:szCs w:val="24"/>
        </w:rPr>
      </w:pPr>
      <w:r w:rsidRPr="002307CD">
        <w:rPr>
          <w:rFonts w:ascii="Arial" w:hAnsi="Arial" w:cs="Arial"/>
          <w:sz w:val="24"/>
          <w:szCs w:val="24"/>
        </w:rPr>
        <w:t>2.2</w:t>
      </w:r>
      <w:r>
        <w:rPr>
          <w:rFonts w:ascii="Arial" w:hAnsi="Arial" w:cs="Arial"/>
        </w:rPr>
        <w:tab/>
      </w:r>
      <w:r w:rsidRPr="00F169A3">
        <w:rPr>
          <w:rFonts w:ascii="Arial" w:hAnsi="Arial" w:cs="Arial"/>
          <w:sz w:val="24"/>
          <w:szCs w:val="24"/>
        </w:rPr>
        <w:t>The SPPS directs that</w:t>
      </w:r>
      <w:r>
        <w:rPr>
          <w:rFonts w:ascii="Arial" w:hAnsi="Arial" w:cs="Arial"/>
        </w:rPr>
        <w:t xml:space="preserve"> </w:t>
      </w:r>
      <w:r>
        <w:rPr>
          <w:rFonts w:ascii="Arial" w:hAnsi="Arial" w:cs="Arial"/>
          <w:sz w:val="24"/>
          <w:szCs w:val="24"/>
        </w:rPr>
        <w:t>policy approaches to new development in the countryside should reflect differences within the region, be sensitive to local needs and be sensitive to environmental issues including the ability of settlements and landscapes to absorb development.  In doing so this may involve recognising areas that are particularly sensitive to change and areas which have lower sensitivities and thus provide opportunities to accommodate sustainable development.  All proposals for development in the countryside must be sited and designed to integrate sympathetically with their surroundings, including the natural topography, and to meet other planning policy and environmental considerations, including the policy approach to cluster, consolidate and group new development with existing established buildings, and must not have an adverse impact on the rural character of the area.</w:t>
      </w:r>
    </w:p>
    <w:p w:rsidR="00384661" w:rsidRPr="00D80D50" w:rsidRDefault="00384661" w:rsidP="00384661">
      <w:pPr>
        <w:pStyle w:val="ListParagraph"/>
        <w:ind w:left="709"/>
        <w:rPr>
          <w:rFonts w:ascii="Arial" w:hAnsi="Arial" w:cs="Arial"/>
          <w:sz w:val="24"/>
          <w:szCs w:val="24"/>
        </w:rPr>
      </w:pPr>
    </w:p>
    <w:p w:rsidR="00DF30A2" w:rsidRPr="002307CD" w:rsidRDefault="001F328A" w:rsidP="00384661">
      <w:pPr>
        <w:pStyle w:val="EndnoteText"/>
        <w:numPr>
          <w:ilvl w:val="0"/>
          <w:numId w:val="2"/>
        </w:numPr>
        <w:rPr>
          <w:rFonts w:ascii="Arial" w:hAnsi="Arial" w:cs="Arial"/>
          <w:b/>
          <w:sz w:val="28"/>
          <w:szCs w:val="28"/>
        </w:rPr>
      </w:pPr>
      <w:r w:rsidRPr="002307CD">
        <w:rPr>
          <w:rFonts w:ascii="Arial" w:hAnsi="Arial" w:cs="Arial"/>
          <w:b/>
          <w:sz w:val="28"/>
          <w:szCs w:val="28"/>
        </w:rPr>
        <w:t>Data Provision</w:t>
      </w:r>
    </w:p>
    <w:p w:rsidR="00576391" w:rsidRPr="00D80D50" w:rsidRDefault="00576391" w:rsidP="00384661">
      <w:pPr>
        <w:pStyle w:val="EndnoteText"/>
        <w:ind w:left="720"/>
        <w:rPr>
          <w:rFonts w:ascii="Arial" w:hAnsi="Arial" w:cs="Arial"/>
          <w:b/>
          <w:sz w:val="24"/>
          <w:szCs w:val="24"/>
        </w:rPr>
      </w:pPr>
    </w:p>
    <w:p w:rsidR="00334C5B" w:rsidRPr="00D80D50" w:rsidRDefault="003C6D68" w:rsidP="00384661">
      <w:pPr>
        <w:pStyle w:val="EndnoteText"/>
        <w:numPr>
          <w:ilvl w:val="1"/>
          <w:numId w:val="2"/>
        </w:numPr>
        <w:ind w:left="709" w:hanging="709"/>
        <w:rPr>
          <w:rFonts w:ascii="Arial" w:hAnsi="Arial" w:cs="Arial"/>
          <w:b/>
          <w:sz w:val="24"/>
          <w:szCs w:val="24"/>
        </w:rPr>
      </w:pPr>
      <w:r w:rsidRPr="00D80D50">
        <w:rPr>
          <w:rFonts w:ascii="Arial" w:hAnsi="Arial" w:cs="Arial"/>
          <w:sz w:val="24"/>
          <w:szCs w:val="24"/>
        </w:rPr>
        <w:t>The data used to inform the pressu</w:t>
      </w:r>
      <w:r w:rsidR="0093572E" w:rsidRPr="00D80D50">
        <w:rPr>
          <w:rFonts w:ascii="Arial" w:hAnsi="Arial" w:cs="Arial"/>
          <w:sz w:val="24"/>
          <w:szCs w:val="24"/>
        </w:rPr>
        <w:t>re analysis has been provided by</w:t>
      </w:r>
      <w:r w:rsidRPr="00D80D50">
        <w:rPr>
          <w:rFonts w:ascii="Arial" w:hAnsi="Arial" w:cs="Arial"/>
          <w:sz w:val="24"/>
          <w:szCs w:val="24"/>
        </w:rPr>
        <w:t xml:space="preserve"> </w:t>
      </w:r>
      <w:r w:rsidR="0093572E" w:rsidRPr="00D80D50">
        <w:rPr>
          <w:rFonts w:ascii="Arial" w:hAnsi="Arial" w:cs="Arial"/>
          <w:sz w:val="24"/>
          <w:szCs w:val="24"/>
        </w:rPr>
        <w:t xml:space="preserve">the </w:t>
      </w:r>
      <w:r w:rsidR="002307CD">
        <w:rPr>
          <w:rFonts w:ascii="Arial" w:hAnsi="Arial" w:cs="Arial"/>
          <w:sz w:val="24"/>
          <w:szCs w:val="24"/>
        </w:rPr>
        <w:t>Department of the Environment (DoE)</w:t>
      </w:r>
      <w:r w:rsidR="0093572E" w:rsidRPr="00D80D50">
        <w:rPr>
          <w:rFonts w:ascii="Arial" w:hAnsi="Arial" w:cs="Arial"/>
          <w:sz w:val="24"/>
          <w:szCs w:val="24"/>
        </w:rPr>
        <w:t xml:space="preserve">. </w:t>
      </w:r>
      <w:r w:rsidR="00DD7BD7">
        <w:rPr>
          <w:rFonts w:ascii="Arial" w:hAnsi="Arial" w:cs="Arial"/>
          <w:color w:val="000000" w:themeColor="text1"/>
          <w:sz w:val="24"/>
          <w:szCs w:val="24"/>
        </w:rPr>
        <w:t xml:space="preserve">All </w:t>
      </w:r>
      <w:r w:rsidR="00227049" w:rsidRPr="00D80D50">
        <w:rPr>
          <w:rFonts w:ascii="Arial" w:hAnsi="Arial" w:cs="Arial"/>
          <w:color w:val="000000" w:themeColor="text1"/>
          <w:sz w:val="24"/>
          <w:szCs w:val="24"/>
        </w:rPr>
        <w:t>residential planning applications</w:t>
      </w:r>
      <w:r w:rsidR="00DD7BD7">
        <w:rPr>
          <w:rFonts w:ascii="Arial" w:hAnsi="Arial" w:cs="Arial"/>
          <w:color w:val="000000" w:themeColor="text1"/>
          <w:sz w:val="24"/>
          <w:szCs w:val="24"/>
        </w:rPr>
        <w:t xml:space="preserve"> in the countryside with the</w:t>
      </w:r>
      <w:r w:rsidR="00227049" w:rsidRPr="00D80D50">
        <w:rPr>
          <w:rFonts w:ascii="Arial" w:hAnsi="Arial" w:cs="Arial"/>
          <w:color w:val="000000" w:themeColor="text1"/>
          <w:sz w:val="24"/>
          <w:szCs w:val="24"/>
        </w:rPr>
        <w:t xml:space="preserve"> except</w:t>
      </w:r>
      <w:r w:rsidR="00DD7BD7">
        <w:rPr>
          <w:rFonts w:ascii="Arial" w:hAnsi="Arial" w:cs="Arial"/>
          <w:color w:val="000000" w:themeColor="text1"/>
          <w:sz w:val="24"/>
          <w:szCs w:val="24"/>
        </w:rPr>
        <w:t>ion of</w:t>
      </w:r>
      <w:r w:rsidR="00227049" w:rsidRPr="00D80D50">
        <w:rPr>
          <w:rFonts w:ascii="Arial" w:hAnsi="Arial" w:cs="Arial"/>
          <w:color w:val="000000" w:themeColor="text1"/>
          <w:sz w:val="24"/>
          <w:szCs w:val="24"/>
        </w:rPr>
        <w:t xml:space="preserve"> minor alterations and extensions from April 200</w:t>
      </w:r>
      <w:r w:rsidR="00A57059" w:rsidRPr="00D80D50">
        <w:rPr>
          <w:rFonts w:ascii="Arial" w:hAnsi="Arial" w:cs="Arial"/>
          <w:color w:val="000000" w:themeColor="text1"/>
          <w:sz w:val="24"/>
          <w:szCs w:val="24"/>
        </w:rPr>
        <w:t>4</w:t>
      </w:r>
      <w:r w:rsidR="00227049" w:rsidRPr="00D80D50">
        <w:rPr>
          <w:rFonts w:ascii="Arial" w:hAnsi="Arial" w:cs="Arial"/>
          <w:color w:val="000000" w:themeColor="text1"/>
          <w:sz w:val="24"/>
          <w:szCs w:val="24"/>
        </w:rPr>
        <w:t xml:space="preserve"> to </w:t>
      </w:r>
      <w:r w:rsidR="002307CD">
        <w:rPr>
          <w:rFonts w:ascii="Arial" w:hAnsi="Arial" w:cs="Arial"/>
          <w:color w:val="000000" w:themeColor="text1"/>
          <w:sz w:val="24"/>
          <w:szCs w:val="24"/>
        </w:rPr>
        <w:t>March 2015 were identified by Do</w:t>
      </w:r>
      <w:r w:rsidR="00227049" w:rsidRPr="00D80D50">
        <w:rPr>
          <w:rFonts w:ascii="Arial" w:hAnsi="Arial" w:cs="Arial"/>
          <w:color w:val="000000" w:themeColor="text1"/>
          <w:sz w:val="24"/>
          <w:szCs w:val="24"/>
        </w:rPr>
        <w:t>E</w:t>
      </w:r>
      <w:r w:rsidR="00594B73" w:rsidRPr="00D80D50">
        <w:rPr>
          <w:rFonts w:ascii="Arial" w:hAnsi="Arial" w:cs="Arial"/>
          <w:color w:val="000000" w:themeColor="text1"/>
          <w:sz w:val="24"/>
          <w:szCs w:val="24"/>
        </w:rPr>
        <w:t>’s</w:t>
      </w:r>
      <w:r w:rsidR="00227049" w:rsidRPr="00D80D50">
        <w:rPr>
          <w:rFonts w:ascii="Arial" w:hAnsi="Arial" w:cs="Arial"/>
          <w:color w:val="000000" w:themeColor="text1"/>
          <w:sz w:val="24"/>
          <w:szCs w:val="24"/>
        </w:rPr>
        <w:t xml:space="preserve"> Analytical Services Branch and results are compiled in tables with relevan</w:t>
      </w:r>
      <w:r w:rsidR="001030A1" w:rsidRPr="00D80D50">
        <w:rPr>
          <w:rFonts w:ascii="Arial" w:hAnsi="Arial" w:cs="Arial"/>
          <w:color w:val="000000" w:themeColor="text1"/>
          <w:sz w:val="24"/>
          <w:szCs w:val="24"/>
        </w:rPr>
        <w:t>t percentages calculated (Table</w:t>
      </w:r>
      <w:r w:rsidR="00227049" w:rsidRPr="00D80D50">
        <w:rPr>
          <w:rFonts w:ascii="Arial" w:hAnsi="Arial" w:cs="Arial"/>
          <w:color w:val="000000" w:themeColor="text1"/>
          <w:sz w:val="24"/>
          <w:szCs w:val="24"/>
        </w:rPr>
        <w:t xml:space="preserve"> 1 and </w:t>
      </w:r>
      <w:r w:rsidR="001030A1" w:rsidRPr="00D80D50">
        <w:rPr>
          <w:rFonts w:ascii="Arial" w:hAnsi="Arial" w:cs="Arial"/>
          <w:color w:val="000000" w:themeColor="text1"/>
          <w:sz w:val="24"/>
          <w:szCs w:val="24"/>
        </w:rPr>
        <w:t xml:space="preserve">Chart </w:t>
      </w:r>
      <w:r w:rsidR="008212BF" w:rsidRPr="00D80D50">
        <w:rPr>
          <w:rFonts w:ascii="Arial" w:hAnsi="Arial" w:cs="Arial"/>
          <w:color w:val="000000" w:themeColor="text1"/>
          <w:sz w:val="24"/>
          <w:szCs w:val="24"/>
        </w:rPr>
        <w:t xml:space="preserve">2). </w:t>
      </w:r>
      <w:r w:rsidR="008C4563" w:rsidRPr="00D80D50">
        <w:rPr>
          <w:rFonts w:ascii="Arial" w:hAnsi="Arial" w:cs="Arial"/>
          <w:sz w:val="24"/>
          <w:szCs w:val="24"/>
        </w:rPr>
        <w:t xml:space="preserve">This is </w:t>
      </w:r>
      <w:r w:rsidR="00A57059" w:rsidRPr="00D80D50">
        <w:rPr>
          <w:rFonts w:ascii="Arial" w:hAnsi="Arial" w:cs="Arial"/>
          <w:sz w:val="24"/>
          <w:szCs w:val="24"/>
        </w:rPr>
        <w:t>effectively a seamless 11</w:t>
      </w:r>
      <w:r w:rsidR="005D33ED" w:rsidRPr="00D80D50">
        <w:rPr>
          <w:rFonts w:ascii="Arial" w:hAnsi="Arial" w:cs="Arial"/>
          <w:sz w:val="24"/>
          <w:szCs w:val="24"/>
        </w:rPr>
        <w:t xml:space="preserve"> year period from which the</w:t>
      </w:r>
      <w:r w:rsidR="004B4A17" w:rsidRPr="00D80D50">
        <w:rPr>
          <w:rFonts w:ascii="Arial" w:hAnsi="Arial" w:cs="Arial"/>
          <w:sz w:val="24"/>
          <w:szCs w:val="24"/>
        </w:rPr>
        <w:t xml:space="preserve"> patterns of</w:t>
      </w:r>
      <w:r w:rsidR="005D33ED" w:rsidRPr="00D80D50">
        <w:rPr>
          <w:rFonts w:ascii="Arial" w:hAnsi="Arial" w:cs="Arial"/>
          <w:sz w:val="24"/>
          <w:szCs w:val="24"/>
        </w:rPr>
        <w:t xml:space="preserve"> distribution </w:t>
      </w:r>
      <w:r w:rsidR="004B4A17" w:rsidRPr="00D80D50">
        <w:rPr>
          <w:rFonts w:ascii="Arial" w:hAnsi="Arial" w:cs="Arial"/>
          <w:sz w:val="24"/>
          <w:szCs w:val="24"/>
        </w:rPr>
        <w:t xml:space="preserve">of </w:t>
      </w:r>
      <w:r w:rsidR="005D33ED" w:rsidRPr="00D80D50">
        <w:rPr>
          <w:rFonts w:ascii="Arial" w:hAnsi="Arial" w:cs="Arial"/>
          <w:sz w:val="24"/>
          <w:szCs w:val="24"/>
        </w:rPr>
        <w:t xml:space="preserve">applications can be assessed. </w:t>
      </w:r>
      <w:r w:rsidR="00653F8C" w:rsidRPr="00D80D50">
        <w:rPr>
          <w:rFonts w:ascii="Arial" w:hAnsi="Arial" w:cs="Arial"/>
          <w:sz w:val="24"/>
          <w:szCs w:val="24"/>
        </w:rPr>
        <w:t>F</w:t>
      </w:r>
      <w:r w:rsidR="005D33ED" w:rsidRPr="00D80D50">
        <w:rPr>
          <w:rFonts w:ascii="Arial" w:hAnsi="Arial" w:cs="Arial"/>
          <w:sz w:val="24"/>
          <w:szCs w:val="24"/>
        </w:rPr>
        <w:t>or example,</w:t>
      </w:r>
      <w:r w:rsidR="00227049" w:rsidRPr="00D80D50">
        <w:rPr>
          <w:rFonts w:ascii="Arial" w:hAnsi="Arial" w:cs="Arial"/>
          <w:color w:val="000000" w:themeColor="text1"/>
          <w:sz w:val="24"/>
          <w:szCs w:val="24"/>
        </w:rPr>
        <w:t xml:space="preserve"> it is useful to examine the extent of development which has occurred in recent </w:t>
      </w:r>
      <w:r w:rsidR="00227049" w:rsidRPr="00D80D50">
        <w:rPr>
          <w:rFonts w:ascii="Arial" w:hAnsi="Arial" w:cs="Arial"/>
          <w:color w:val="000000" w:themeColor="text1"/>
          <w:sz w:val="24"/>
          <w:szCs w:val="24"/>
        </w:rPr>
        <w:lastRenderedPageBreak/>
        <w:t>years in the run-up to and aftermath of</w:t>
      </w:r>
      <w:r w:rsidR="00653F8C" w:rsidRPr="00D80D50">
        <w:rPr>
          <w:rFonts w:ascii="Arial" w:hAnsi="Arial" w:cs="Arial"/>
          <w:color w:val="000000" w:themeColor="text1"/>
          <w:sz w:val="24"/>
          <w:szCs w:val="24"/>
        </w:rPr>
        <w:t>,</w:t>
      </w:r>
      <w:r w:rsidR="00227049" w:rsidRPr="00D80D50">
        <w:rPr>
          <w:rFonts w:ascii="Arial" w:hAnsi="Arial" w:cs="Arial"/>
          <w:color w:val="000000" w:themeColor="text1"/>
          <w:sz w:val="24"/>
          <w:szCs w:val="24"/>
        </w:rPr>
        <w:t xml:space="preserve"> the introduction of </w:t>
      </w:r>
      <w:r w:rsidR="0059233F" w:rsidRPr="00D80D50">
        <w:rPr>
          <w:rFonts w:ascii="Arial" w:hAnsi="Arial" w:cs="Arial"/>
          <w:color w:val="000000" w:themeColor="text1"/>
          <w:sz w:val="24"/>
          <w:szCs w:val="24"/>
        </w:rPr>
        <w:t xml:space="preserve">PPS 21 in June 2010. </w:t>
      </w:r>
    </w:p>
    <w:p w:rsidR="00576391" w:rsidRPr="00D80D50" w:rsidRDefault="00576391" w:rsidP="00384661">
      <w:pPr>
        <w:pStyle w:val="EndnoteText"/>
        <w:ind w:left="709"/>
        <w:rPr>
          <w:rFonts w:ascii="Arial" w:hAnsi="Arial" w:cs="Arial"/>
          <w:b/>
          <w:sz w:val="24"/>
          <w:szCs w:val="24"/>
        </w:rPr>
      </w:pPr>
    </w:p>
    <w:p w:rsidR="007236D0" w:rsidRPr="00D80D50" w:rsidRDefault="00DF30A2" w:rsidP="00384661">
      <w:pPr>
        <w:pStyle w:val="EndnoteText"/>
        <w:numPr>
          <w:ilvl w:val="1"/>
          <w:numId w:val="2"/>
        </w:numPr>
        <w:ind w:left="709" w:hanging="709"/>
        <w:rPr>
          <w:rFonts w:ascii="Arial" w:hAnsi="Arial" w:cs="Arial"/>
          <w:b/>
          <w:sz w:val="24"/>
          <w:szCs w:val="24"/>
        </w:rPr>
      </w:pPr>
      <w:r w:rsidRPr="00D80D50">
        <w:rPr>
          <w:rFonts w:ascii="Arial" w:hAnsi="Arial" w:cs="Arial"/>
          <w:color w:val="000000" w:themeColor="text1"/>
          <w:sz w:val="24"/>
          <w:szCs w:val="24"/>
        </w:rPr>
        <w:t xml:space="preserve">Applications </w:t>
      </w:r>
      <w:r w:rsidR="00DD7BD7">
        <w:rPr>
          <w:rFonts w:ascii="Arial" w:hAnsi="Arial" w:cs="Arial"/>
          <w:color w:val="000000" w:themeColor="text1"/>
          <w:sz w:val="24"/>
          <w:szCs w:val="24"/>
        </w:rPr>
        <w:t xml:space="preserve">for single dwellings in the countryside </w:t>
      </w:r>
      <w:r w:rsidRPr="00D80D50">
        <w:rPr>
          <w:rFonts w:ascii="Arial" w:hAnsi="Arial" w:cs="Arial"/>
          <w:color w:val="000000" w:themeColor="text1"/>
          <w:sz w:val="24"/>
          <w:szCs w:val="24"/>
        </w:rPr>
        <w:t xml:space="preserve">have been mapped and those on the same site </w:t>
      </w:r>
      <w:r w:rsidR="000E0F88" w:rsidRPr="00D80D50">
        <w:rPr>
          <w:rFonts w:ascii="Arial" w:hAnsi="Arial" w:cs="Arial"/>
          <w:color w:val="000000" w:themeColor="text1"/>
          <w:sz w:val="24"/>
          <w:szCs w:val="24"/>
        </w:rPr>
        <w:t>are shown</w:t>
      </w:r>
      <w:r w:rsidRPr="00D80D50">
        <w:rPr>
          <w:rFonts w:ascii="Arial" w:hAnsi="Arial" w:cs="Arial"/>
          <w:color w:val="000000" w:themeColor="text1"/>
          <w:sz w:val="24"/>
          <w:szCs w:val="24"/>
        </w:rPr>
        <w:t xml:space="preserve"> as one dot </w:t>
      </w:r>
      <w:r w:rsidR="003912E9">
        <w:rPr>
          <w:rFonts w:ascii="Arial" w:hAnsi="Arial" w:cs="Arial"/>
          <w:color w:val="000000" w:themeColor="text1"/>
          <w:sz w:val="24"/>
          <w:szCs w:val="24"/>
        </w:rPr>
        <w:t>and provide an indication of development pressures in the countryside</w:t>
      </w:r>
      <w:r w:rsidR="0019759B">
        <w:rPr>
          <w:rFonts w:ascii="Arial" w:hAnsi="Arial" w:cs="Arial"/>
          <w:color w:val="000000" w:themeColor="text1"/>
          <w:sz w:val="24"/>
          <w:szCs w:val="24"/>
        </w:rPr>
        <w:t xml:space="preserve"> (see Map 1</w:t>
      </w:r>
      <w:r w:rsidRPr="00D80D50">
        <w:rPr>
          <w:rFonts w:ascii="Arial" w:hAnsi="Arial" w:cs="Arial"/>
          <w:color w:val="000000" w:themeColor="text1"/>
          <w:sz w:val="24"/>
          <w:szCs w:val="24"/>
        </w:rPr>
        <w:t xml:space="preserve">). </w:t>
      </w:r>
      <w:r w:rsidR="00631495" w:rsidRPr="00D80D50">
        <w:rPr>
          <w:rFonts w:ascii="Arial" w:hAnsi="Arial" w:cs="Arial"/>
          <w:color w:val="000000" w:themeColor="text1"/>
          <w:sz w:val="24"/>
          <w:szCs w:val="24"/>
        </w:rPr>
        <w:t xml:space="preserve">Appeal </w:t>
      </w:r>
      <w:r w:rsidR="002307CD">
        <w:rPr>
          <w:rFonts w:ascii="Arial" w:hAnsi="Arial" w:cs="Arial"/>
          <w:color w:val="000000" w:themeColor="text1"/>
          <w:sz w:val="24"/>
          <w:szCs w:val="24"/>
        </w:rPr>
        <w:t>information</w:t>
      </w:r>
      <w:r w:rsidR="00DD7BD7">
        <w:rPr>
          <w:rFonts w:ascii="Arial" w:hAnsi="Arial" w:cs="Arial"/>
          <w:color w:val="000000" w:themeColor="text1"/>
          <w:sz w:val="24"/>
          <w:szCs w:val="24"/>
        </w:rPr>
        <w:t xml:space="preserve"> is not included within the statistics.</w:t>
      </w:r>
    </w:p>
    <w:p w:rsidR="000B45BA" w:rsidRPr="00D80D50" w:rsidRDefault="000B45BA" w:rsidP="00384661">
      <w:pPr>
        <w:pStyle w:val="ListParagraph"/>
        <w:rPr>
          <w:rFonts w:ascii="Arial" w:hAnsi="Arial" w:cs="Arial"/>
          <w:b/>
          <w:sz w:val="24"/>
          <w:szCs w:val="24"/>
        </w:rPr>
      </w:pPr>
    </w:p>
    <w:p w:rsidR="005F20F2" w:rsidRPr="002307CD" w:rsidRDefault="001030A1" w:rsidP="000B45BA">
      <w:pPr>
        <w:pStyle w:val="ListParagraph"/>
        <w:rPr>
          <w:rFonts w:ascii="Arial" w:hAnsi="Arial" w:cs="Arial"/>
          <w:b/>
        </w:rPr>
      </w:pPr>
      <w:r w:rsidRPr="002307CD">
        <w:rPr>
          <w:rFonts w:ascii="Arial" w:hAnsi="Arial" w:cs="Arial"/>
          <w:b/>
        </w:rPr>
        <w:t>Table 1</w:t>
      </w:r>
      <w:r w:rsidR="005F20F2" w:rsidRPr="002307CD">
        <w:rPr>
          <w:rFonts w:ascii="Arial" w:hAnsi="Arial" w:cs="Arial"/>
          <w:b/>
        </w:rPr>
        <w:t xml:space="preserve">: Planning Decisions for Rural New Single Dwellings (Full, Outline &amp; Reserved Matters) in </w:t>
      </w:r>
      <w:r w:rsidRPr="002307CD">
        <w:rPr>
          <w:rFonts w:ascii="Arial" w:hAnsi="Arial" w:cs="Arial"/>
          <w:b/>
        </w:rPr>
        <w:t xml:space="preserve">FODC </w:t>
      </w:r>
      <w:r w:rsidR="005F20F2" w:rsidRPr="002307CD">
        <w:rPr>
          <w:rFonts w:ascii="Arial" w:hAnsi="Arial" w:cs="Arial"/>
          <w:b/>
        </w:rPr>
        <w:t xml:space="preserve">Area </w:t>
      </w:r>
      <w:r w:rsidRPr="002307CD">
        <w:rPr>
          <w:rFonts w:ascii="Arial" w:hAnsi="Arial" w:cs="Arial"/>
          <w:b/>
        </w:rPr>
        <w:t>(</w:t>
      </w:r>
      <w:r w:rsidR="00750FE8" w:rsidRPr="002307CD">
        <w:rPr>
          <w:rFonts w:ascii="Arial" w:hAnsi="Arial" w:cs="Arial"/>
          <w:b/>
        </w:rPr>
        <w:t>2004 to 2015</w:t>
      </w:r>
      <w:r w:rsidRPr="002307CD">
        <w:rPr>
          <w:rFonts w:ascii="Arial" w:hAnsi="Arial" w:cs="Arial"/>
          <w:b/>
        </w:rPr>
        <w:t>)</w:t>
      </w:r>
    </w:p>
    <w:p w:rsidR="00A5387F" w:rsidRPr="00D80D50" w:rsidRDefault="00A5387F" w:rsidP="000B45BA">
      <w:pPr>
        <w:pStyle w:val="ListParagraph"/>
        <w:rPr>
          <w:rFonts w:ascii="Arial" w:hAnsi="Arial" w:cs="Arial"/>
          <w:b/>
          <w:sz w:val="24"/>
          <w:szCs w:val="24"/>
        </w:rPr>
      </w:pPr>
    </w:p>
    <w:tbl>
      <w:tblPr>
        <w:tblStyle w:val="TableGrid"/>
        <w:tblW w:w="0" w:type="auto"/>
        <w:jc w:val="center"/>
        <w:tblLook w:val="04A0" w:firstRow="1" w:lastRow="0" w:firstColumn="1" w:lastColumn="0" w:noHBand="0" w:noVBand="1"/>
      </w:tblPr>
      <w:tblGrid>
        <w:gridCol w:w="1931"/>
        <w:gridCol w:w="1931"/>
        <w:gridCol w:w="1931"/>
        <w:gridCol w:w="1931"/>
      </w:tblGrid>
      <w:tr w:rsidR="00104A2F" w:rsidRPr="0051332A" w:rsidTr="0051332A">
        <w:trPr>
          <w:trHeight w:val="442"/>
          <w:jc w:val="center"/>
        </w:trPr>
        <w:tc>
          <w:tcPr>
            <w:tcW w:w="1931" w:type="dxa"/>
            <w:shd w:val="clear" w:color="auto" w:fill="D9D9D9" w:themeFill="background1" w:themeFillShade="D9"/>
          </w:tcPr>
          <w:p w:rsidR="00104A2F" w:rsidRPr="0051332A" w:rsidRDefault="00750FE8" w:rsidP="000B45BA">
            <w:pPr>
              <w:pStyle w:val="ListParagraph"/>
              <w:ind w:left="0"/>
              <w:rPr>
                <w:rFonts w:ascii="Arial" w:hAnsi="Arial" w:cs="Arial"/>
                <w:b/>
                <w:sz w:val="20"/>
                <w:szCs w:val="20"/>
              </w:rPr>
            </w:pPr>
            <w:r w:rsidRPr="0051332A">
              <w:rPr>
                <w:rFonts w:ascii="Arial" w:hAnsi="Arial" w:cs="Arial"/>
                <w:b/>
                <w:sz w:val="20"/>
                <w:szCs w:val="20"/>
              </w:rPr>
              <w:t xml:space="preserve">Financial </w:t>
            </w:r>
            <w:r w:rsidR="00104A2F" w:rsidRPr="0051332A">
              <w:rPr>
                <w:rFonts w:ascii="Arial" w:hAnsi="Arial" w:cs="Arial"/>
                <w:b/>
                <w:sz w:val="20"/>
                <w:szCs w:val="20"/>
              </w:rPr>
              <w:t>Year</w:t>
            </w:r>
          </w:p>
          <w:p w:rsidR="00276BDF" w:rsidRPr="0051332A" w:rsidRDefault="00276BDF" w:rsidP="000B45BA">
            <w:pPr>
              <w:pStyle w:val="ListParagraph"/>
              <w:ind w:left="0"/>
              <w:rPr>
                <w:rFonts w:ascii="Arial" w:hAnsi="Arial" w:cs="Arial"/>
                <w:b/>
                <w:sz w:val="20"/>
                <w:szCs w:val="20"/>
              </w:rPr>
            </w:pPr>
          </w:p>
          <w:p w:rsidR="005F20F2" w:rsidRPr="0051332A" w:rsidRDefault="005F20F2" w:rsidP="000B45BA">
            <w:pPr>
              <w:pStyle w:val="ListParagraph"/>
              <w:ind w:left="0"/>
              <w:rPr>
                <w:rFonts w:ascii="Arial" w:hAnsi="Arial" w:cs="Arial"/>
                <w:b/>
                <w:sz w:val="20"/>
                <w:szCs w:val="20"/>
              </w:rPr>
            </w:pPr>
          </w:p>
        </w:tc>
        <w:tc>
          <w:tcPr>
            <w:tcW w:w="1931" w:type="dxa"/>
            <w:shd w:val="clear" w:color="auto" w:fill="D9D9D9" w:themeFill="background1" w:themeFillShade="D9"/>
          </w:tcPr>
          <w:p w:rsidR="00104A2F" w:rsidRPr="0051332A" w:rsidRDefault="00104A2F" w:rsidP="0009574A">
            <w:pPr>
              <w:pStyle w:val="ListParagraph"/>
              <w:ind w:left="0"/>
              <w:jc w:val="center"/>
              <w:rPr>
                <w:rFonts w:ascii="Arial" w:hAnsi="Arial" w:cs="Arial"/>
                <w:b/>
                <w:sz w:val="20"/>
                <w:szCs w:val="20"/>
              </w:rPr>
            </w:pPr>
            <w:r w:rsidRPr="0051332A">
              <w:rPr>
                <w:rFonts w:ascii="Arial" w:hAnsi="Arial" w:cs="Arial"/>
                <w:b/>
                <w:sz w:val="20"/>
                <w:szCs w:val="20"/>
              </w:rPr>
              <w:t>Approvals</w:t>
            </w:r>
          </w:p>
        </w:tc>
        <w:tc>
          <w:tcPr>
            <w:tcW w:w="1931" w:type="dxa"/>
            <w:shd w:val="clear" w:color="auto" w:fill="D9D9D9" w:themeFill="background1" w:themeFillShade="D9"/>
          </w:tcPr>
          <w:p w:rsidR="00104A2F" w:rsidRPr="0051332A" w:rsidRDefault="00104A2F" w:rsidP="0009574A">
            <w:pPr>
              <w:pStyle w:val="ListParagraph"/>
              <w:ind w:left="0"/>
              <w:jc w:val="center"/>
              <w:rPr>
                <w:rFonts w:ascii="Arial" w:hAnsi="Arial" w:cs="Arial"/>
                <w:b/>
                <w:sz w:val="20"/>
                <w:szCs w:val="20"/>
              </w:rPr>
            </w:pPr>
            <w:r w:rsidRPr="0051332A">
              <w:rPr>
                <w:rFonts w:ascii="Arial" w:hAnsi="Arial" w:cs="Arial"/>
                <w:b/>
                <w:sz w:val="20"/>
                <w:szCs w:val="20"/>
              </w:rPr>
              <w:t>Refusals</w:t>
            </w:r>
          </w:p>
        </w:tc>
        <w:tc>
          <w:tcPr>
            <w:tcW w:w="1931" w:type="dxa"/>
            <w:shd w:val="clear" w:color="auto" w:fill="D9D9D9" w:themeFill="background1" w:themeFillShade="D9"/>
          </w:tcPr>
          <w:p w:rsidR="00104A2F" w:rsidRPr="0051332A" w:rsidRDefault="00104A2F" w:rsidP="0009574A">
            <w:pPr>
              <w:pStyle w:val="ListParagraph"/>
              <w:ind w:left="0"/>
              <w:jc w:val="center"/>
              <w:rPr>
                <w:rFonts w:ascii="Arial" w:hAnsi="Arial" w:cs="Arial"/>
                <w:b/>
                <w:sz w:val="20"/>
                <w:szCs w:val="20"/>
              </w:rPr>
            </w:pPr>
            <w:r w:rsidRPr="0051332A">
              <w:rPr>
                <w:rFonts w:ascii="Arial" w:hAnsi="Arial" w:cs="Arial"/>
                <w:b/>
                <w:sz w:val="20"/>
                <w:szCs w:val="20"/>
              </w:rPr>
              <w:t>Total</w:t>
            </w:r>
          </w:p>
        </w:tc>
      </w:tr>
      <w:tr w:rsidR="00104A2F" w:rsidRPr="0051332A" w:rsidTr="0051332A">
        <w:trPr>
          <w:trHeight w:val="221"/>
          <w:jc w:val="center"/>
        </w:trPr>
        <w:tc>
          <w:tcPr>
            <w:tcW w:w="1931" w:type="dxa"/>
          </w:tcPr>
          <w:p w:rsidR="00104A2F" w:rsidRPr="0051332A" w:rsidRDefault="00104A2F" w:rsidP="000B45BA">
            <w:pPr>
              <w:pStyle w:val="ListParagraph"/>
              <w:ind w:left="0"/>
              <w:rPr>
                <w:rFonts w:ascii="Arial" w:hAnsi="Arial" w:cs="Arial"/>
                <w:sz w:val="20"/>
                <w:szCs w:val="20"/>
              </w:rPr>
            </w:pPr>
            <w:r w:rsidRPr="0051332A">
              <w:rPr>
                <w:rFonts w:ascii="Arial" w:hAnsi="Arial" w:cs="Arial"/>
                <w:sz w:val="20"/>
                <w:szCs w:val="20"/>
              </w:rPr>
              <w:t>2004/05</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1585</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200</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1785</w:t>
            </w:r>
          </w:p>
        </w:tc>
      </w:tr>
      <w:tr w:rsidR="00104A2F" w:rsidRPr="0051332A" w:rsidTr="0051332A">
        <w:trPr>
          <w:trHeight w:val="221"/>
          <w:jc w:val="center"/>
        </w:trPr>
        <w:tc>
          <w:tcPr>
            <w:tcW w:w="1931" w:type="dxa"/>
          </w:tcPr>
          <w:p w:rsidR="00104A2F" w:rsidRPr="0051332A" w:rsidRDefault="00104A2F" w:rsidP="000B45BA">
            <w:pPr>
              <w:pStyle w:val="ListParagraph"/>
              <w:ind w:left="0"/>
              <w:rPr>
                <w:rFonts w:ascii="Arial" w:hAnsi="Arial" w:cs="Arial"/>
                <w:sz w:val="20"/>
                <w:szCs w:val="20"/>
              </w:rPr>
            </w:pPr>
            <w:r w:rsidRPr="0051332A">
              <w:rPr>
                <w:rFonts w:ascii="Arial" w:hAnsi="Arial" w:cs="Arial"/>
                <w:sz w:val="20"/>
                <w:szCs w:val="20"/>
              </w:rPr>
              <w:t>2005/06</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1767</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343</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2110</w:t>
            </w:r>
          </w:p>
        </w:tc>
      </w:tr>
      <w:tr w:rsidR="00104A2F" w:rsidRPr="0051332A" w:rsidTr="0051332A">
        <w:trPr>
          <w:trHeight w:val="221"/>
          <w:jc w:val="center"/>
        </w:trPr>
        <w:tc>
          <w:tcPr>
            <w:tcW w:w="1931" w:type="dxa"/>
          </w:tcPr>
          <w:p w:rsidR="00104A2F" w:rsidRPr="0051332A" w:rsidRDefault="00104A2F" w:rsidP="000B45BA">
            <w:pPr>
              <w:pStyle w:val="ListParagraph"/>
              <w:ind w:left="0"/>
              <w:rPr>
                <w:rFonts w:ascii="Arial" w:hAnsi="Arial" w:cs="Arial"/>
                <w:sz w:val="20"/>
                <w:szCs w:val="20"/>
              </w:rPr>
            </w:pPr>
            <w:r w:rsidRPr="0051332A">
              <w:rPr>
                <w:rFonts w:ascii="Arial" w:hAnsi="Arial" w:cs="Arial"/>
                <w:sz w:val="20"/>
                <w:szCs w:val="20"/>
              </w:rPr>
              <w:t>2006/07</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1882</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994</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2876</w:t>
            </w:r>
          </w:p>
        </w:tc>
      </w:tr>
      <w:tr w:rsidR="00104A2F" w:rsidRPr="0051332A" w:rsidTr="0051332A">
        <w:trPr>
          <w:trHeight w:val="221"/>
          <w:jc w:val="center"/>
        </w:trPr>
        <w:tc>
          <w:tcPr>
            <w:tcW w:w="1931" w:type="dxa"/>
          </w:tcPr>
          <w:p w:rsidR="00104A2F" w:rsidRPr="0051332A" w:rsidRDefault="00104A2F" w:rsidP="000B45BA">
            <w:pPr>
              <w:pStyle w:val="ListParagraph"/>
              <w:ind w:left="0"/>
              <w:rPr>
                <w:rFonts w:ascii="Arial" w:hAnsi="Arial" w:cs="Arial"/>
                <w:sz w:val="20"/>
                <w:szCs w:val="20"/>
              </w:rPr>
            </w:pPr>
            <w:r w:rsidRPr="0051332A">
              <w:rPr>
                <w:rFonts w:ascii="Arial" w:hAnsi="Arial" w:cs="Arial"/>
                <w:sz w:val="20"/>
                <w:szCs w:val="20"/>
              </w:rPr>
              <w:t>2007/08</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1420</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142</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1562</w:t>
            </w:r>
          </w:p>
        </w:tc>
      </w:tr>
      <w:tr w:rsidR="00104A2F" w:rsidRPr="0051332A" w:rsidTr="0051332A">
        <w:trPr>
          <w:trHeight w:val="221"/>
          <w:jc w:val="center"/>
        </w:trPr>
        <w:tc>
          <w:tcPr>
            <w:tcW w:w="1931" w:type="dxa"/>
          </w:tcPr>
          <w:p w:rsidR="00104A2F" w:rsidRPr="0051332A" w:rsidRDefault="00104A2F" w:rsidP="000B45BA">
            <w:pPr>
              <w:pStyle w:val="ListParagraph"/>
              <w:ind w:left="0"/>
              <w:rPr>
                <w:rFonts w:ascii="Arial" w:hAnsi="Arial" w:cs="Arial"/>
                <w:sz w:val="20"/>
                <w:szCs w:val="20"/>
              </w:rPr>
            </w:pPr>
            <w:r w:rsidRPr="0051332A">
              <w:rPr>
                <w:rFonts w:ascii="Arial" w:hAnsi="Arial" w:cs="Arial"/>
                <w:sz w:val="20"/>
                <w:szCs w:val="20"/>
              </w:rPr>
              <w:t>2008/09</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874</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11</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885</w:t>
            </w:r>
          </w:p>
        </w:tc>
      </w:tr>
      <w:tr w:rsidR="00104A2F" w:rsidRPr="0051332A" w:rsidTr="0051332A">
        <w:trPr>
          <w:trHeight w:val="221"/>
          <w:jc w:val="center"/>
        </w:trPr>
        <w:tc>
          <w:tcPr>
            <w:tcW w:w="1931" w:type="dxa"/>
          </w:tcPr>
          <w:p w:rsidR="00104A2F" w:rsidRPr="0051332A" w:rsidRDefault="00104A2F" w:rsidP="000B45BA">
            <w:pPr>
              <w:pStyle w:val="ListParagraph"/>
              <w:ind w:left="0"/>
              <w:rPr>
                <w:rFonts w:ascii="Arial" w:hAnsi="Arial" w:cs="Arial"/>
                <w:sz w:val="20"/>
                <w:szCs w:val="20"/>
              </w:rPr>
            </w:pPr>
            <w:r w:rsidRPr="0051332A">
              <w:rPr>
                <w:rFonts w:ascii="Arial" w:hAnsi="Arial" w:cs="Arial"/>
                <w:sz w:val="20"/>
                <w:szCs w:val="20"/>
              </w:rPr>
              <w:t>2009/10</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711</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15</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726</w:t>
            </w:r>
          </w:p>
        </w:tc>
      </w:tr>
      <w:tr w:rsidR="00104A2F" w:rsidRPr="0051332A" w:rsidTr="0051332A">
        <w:trPr>
          <w:trHeight w:val="221"/>
          <w:jc w:val="center"/>
        </w:trPr>
        <w:tc>
          <w:tcPr>
            <w:tcW w:w="1931" w:type="dxa"/>
          </w:tcPr>
          <w:p w:rsidR="00104A2F" w:rsidRPr="0051332A" w:rsidRDefault="00104A2F" w:rsidP="000B45BA">
            <w:pPr>
              <w:pStyle w:val="ListParagraph"/>
              <w:ind w:left="0"/>
              <w:rPr>
                <w:rFonts w:ascii="Arial" w:hAnsi="Arial" w:cs="Arial"/>
                <w:sz w:val="20"/>
                <w:szCs w:val="20"/>
              </w:rPr>
            </w:pPr>
            <w:r w:rsidRPr="0051332A">
              <w:rPr>
                <w:rFonts w:ascii="Arial" w:hAnsi="Arial" w:cs="Arial"/>
                <w:sz w:val="20"/>
                <w:szCs w:val="20"/>
              </w:rPr>
              <w:t>2010/11</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332</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206</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538</w:t>
            </w:r>
          </w:p>
        </w:tc>
      </w:tr>
      <w:tr w:rsidR="006B2097" w:rsidRPr="0051332A" w:rsidTr="0051332A">
        <w:trPr>
          <w:trHeight w:val="221"/>
          <w:jc w:val="center"/>
        </w:trPr>
        <w:tc>
          <w:tcPr>
            <w:tcW w:w="1931" w:type="dxa"/>
          </w:tcPr>
          <w:p w:rsidR="00104A2F" w:rsidRPr="0051332A" w:rsidRDefault="00104A2F" w:rsidP="00F866E8">
            <w:pPr>
              <w:pStyle w:val="ListParagraph"/>
              <w:ind w:left="0"/>
              <w:rPr>
                <w:rFonts w:ascii="Arial" w:hAnsi="Arial" w:cs="Arial"/>
                <w:sz w:val="20"/>
                <w:szCs w:val="20"/>
              </w:rPr>
            </w:pPr>
            <w:r w:rsidRPr="0051332A">
              <w:rPr>
                <w:rFonts w:ascii="Arial" w:hAnsi="Arial" w:cs="Arial"/>
                <w:sz w:val="20"/>
                <w:szCs w:val="20"/>
              </w:rPr>
              <w:t>2011/12</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369</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78</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447</w:t>
            </w:r>
          </w:p>
        </w:tc>
      </w:tr>
      <w:tr w:rsidR="006B2097" w:rsidRPr="0051332A" w:rsidTr="0051332A">
        <w:trPr>
          <w:trHeight w:val="221"/>
          <w:jc w:val="center"/>
        </w:trPr>
        <w:tc>
          <w:tcPr>
            <w:tcW w:w="1931" w:type="dxa"/>
          </w:tcPr>
          <w:p w:rsidR="00104A2F" w:rsidRPr="0051332A" w:rsidRDefault="00104A2F" w:rsidP="00F866E8">
            <w:pPr>
              <w:pStyle w:val="ListParagraph"/>
              <w:ind w:left="0"/>
              <w:rPr>
                <w:rFonts w:ascii="Arial" w:hAnsi="Arial" w:cs="Arial"/>
                <w:sz w:val="20"/>
                <w:szCs w:val="20"/>
              </w:rPr>
            </w:pPr>
            <w:r w:rsidRPr="0051332A">
              <w:rPr>
                <w:rFonts w:ascii="Arial" w:hAnsi="Arial" w:cs="Arial"/>
                <w:sz w:val="20"/>
                <w:szCs w:val="20"/>
              </w:rPr>
              <w:t>2012/13</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223</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15</w:t>
            </w:r>
          </w:p>
        </w:tc>
        <w:tc>
          <w:tcPr>
            <w:tcW w:w="1931" w:type="dxa"/>
          </w:tcPr>
          <w:p w:rsidR="00104A2F" w:rsidRPr="0051332A" w:rsidRDefault="00104A2F" w:rsidP="0009574A">
            <w:pPr>
              <w:pStyle w:val="ListParagraph"/>
              <w:ind w:left="0"/>
              <w:jc w:val="center"/>
              <w:rPr>
                <w:rFonts w:ascii="Arial" w:hAnsi="Arial" w:cs="Arial"/>
                <w:sz w:val="20"/>
                <w:szCs w:val="20"/>
              </w:rPr>
            </w:pPr>
            <w:r w:rsidRPr="0051332A">
              <w:rPr>
                <w:rFonts w:ascii="Arial" w:hAnsi="Arial" w:cs="Arial"/>
                <w:sz w:val="20"/>
                <w:szCs w:val="20"/>
              </w:rPr>
              <w:t>238</w:t>
            </w:r>
          </w:p>
        </w:tc>
      </w:tr>
      <w:tr w:rsidR="006B2097" w:rsidRPr="0051332A" w:rsidTr="0051332A">
        <w:trPr>
          <w:trHeight w:val="221"/>
          <w:jc w:val="center"/>
        </w:trPr>
        <w:tc>
          <w:tcPr>
            <w:tcW w:w="1931" w:type="dxa"/>
          </w:tcPr>
          <w:p w:rsidR="00104A2F" w:rsidRPr="0051332A" w:rsidRDefault="00104A2F" w:rsidP="00F866E8">
            <w:pPr>
              <w:pStyle w:val="ListParagraph"/>
              <w:ind w:left="0"/>
              <w:rPr>
                <w:rFonts w:ascii="Arial" w:hAnsi="Arial" w:cs="Arial"/>
                <w:sz w:val="20"/>
                <w:szCs w:val="20"/>
              </w:rPr>
            </w:pPr>
            <w:r w:rsidRPr="0051332A">
              <w:rPr>
                <w:rFonts w:ascii="Arial" w:hAnsi="Arial" w:cs="Arial"/>
                <w:sz w:val="20"/>
                <w:szCs w:val="20"/>
              </w:rPr>
              <w:t>2013/14</w:t>
            </w:r>
          </w:p>
        </w:tc>
        <w:tc>
          <w:tcPr>
            <w:tcW w:w="1931" w:type="dxa"/>
          </w:tcPr>
          <w:p w:rsidR="00104A2F" w:rsidRPr="0051332A" w:rsidRDefault="007A5EEA" w:rsidP="0009574A">
            <w:pPr>
              <w:pStyle w:val="ListParagraph"/>
              <w:ind w:left="0"/>
              <w:jc w:val="center"/>
              <w:rPr>
                <w:rFonts w:ascii="Arial" w:hAnsi="Arial" w:cs="Arial"/>
                <w:sz w:val="20"/>
                <w:szCs w:val="20"/>
              </w:rPr>
            </w:pPr>
            <w:r w:rsidRPr="0051332A">
              <w:rPr>
                <w:rFonts w:ascii="Arial" w:hAnsi="Arial" w:cs="Arial"/>
                <w:sz w:val="20"/>
                <w:szCs w:val="20"/>
              </w:rPr>
              <w:t>143</w:t>
            </w:r>
          </w:p>
        </w:tc>
        <w:tc>
          <w:tcPr>
            <w:tcW w:w="1931" w:type="dxa"/>
          </w:tcPr>
          <w:p w:rsidR="00104A2F" w:rsidRPr="0051332A" w:rsidRDefault="007A5EEA" w:rsidP="0009574A">
            <w:pPr>
              <w:pStyle w:val="ListParagraph"/>
              <w:ind w:left="0"/>
              <w:jc w:val="center"/>
              <w:rPr>
                <w:rFonts w:ascii="Arial" w:hAnsi="Arial" w:cs="Arial"/>
                <w:sz w:val="20"/>
                <w:szCs w:val="20"/>
              </w:rPr>
            </w:pPr>
            <w:r w:rsidRPr="0051332A">
              <w:rPr>
                <w:rFonts w:ascii="Arial" w:hAnsi="Arial" w:cs="Arial"/>
                <w:sz w:val="20"/>
                <w:szCs w:val="20"/>
              </w:rPr>
              <w:t>12</w:t>
            </w:r>
          </w:p>
        </w:tc>
        <w:tc>
          <w:tcPr>
            <w:tcW w:w="1931" w:type="dxa"/>
          </w:tcPr>
          <w:p w:rsidR="00104A2F" w:rsidRPr="0051332A" w:rsidRDefault="007A5EEA" w:rsidP="0009574A">
            <w:pPr>
              <w:pStyle w:val="ListParagraph"/>
              <w:ind w:left="0"/>
              <w:jc w:val="center"/>
              <w:rPr>
                <w:rFonts w:ascii="Arial" w:hAnsi="Arial" w:cs="Arial"/>
                <w:sz w:val="20"/>
                <w:szCs w:val="20"/>
              </w:rPr>
            </w:pPr>
            <w:r w:rsidRPr="0051332A">
              <w:rPr>
                <w:rFonts w:ascii="Arial" w:hAnsi="Arial" w:cs="Arial"/>
                <w:sz w:val="20"/>
                <w:szCs w:val="20"/>
              </w:rPr>
              <w:t>155</w:t>
            </w:r>
          </w:p>
        </w:tc>
      </w:tr>
      <w:tr w:rsidR="00104A2F" w:rsidRPr="0051332A" w:rsidTr="0051332A">
        <w:trPr>
          <w:trHeight w:val="221"/>
          <w:jc w:val="center"/>
        </w:trPr>
        <w:tc>
          <w:tcPr>
            <w:tcW w:w="1931" w:type="dxa"/>
          </w:tcPr>
          <w:p w:rsidR="00104A2F" w:rsidRPr="0051332A" w:rsidRDefault="00104A2F" w:rsidP="00F866E8">
            <w:pPr>
              <w:pStyle w:val="ListParagraph"/>
              <w:ind w:left="0"/>
              <w:rPr>
                <w:rFonts w:ascii="Arial" w:hAnsi="Arial" w:cs="Arial"/>
                <w:sz w:val="20"/>
                <w:szCs w:val="20"/>
              </w:rPr>
            </w:pPr>
            <w:r w:rsidRPr="0051332A">
              <w:rPr>
                <w:rFonts w:ascii="Arial" w:hAnsi="Arial" w:cs="Arial"/>
                <w:sz w:val="20"/>
                <w:szCs w:val="20"/>
              </w:rPr>
              <w:t>2014/15</w:t>
            </w:r>
          </w:p>
        </w:tc>
        <w:tc>
          <w:tcPr>
            <w:tcW w:w="1931" w:type="dxa"/>
          </w:tcPr>
          <w:p w:rsidR="00104A2F" w:rsidRPr="0051332A" w:rsidRDefault="007A5EEA" w:rsidP="0009574A">
            <w:pPr>
              <w:pStyle w:val="ListParagraph"/>
              <w:ind w:left="0"/>
              <w:jc w:val="center"/>
              <w:rPr>
                <w:rFonts w:ascii="Arial" w:hAnsi="Arial" w:cs="Arial"/>
                <w:sz w:val="20"/>
                <w:szCs w:val="20"/>
              </w:rPr>
            </w:pPr>
            <w:r w:rsidRPr="0051332A">
              <w:rPr>
                <w:rFonts w:ascii="Arial" w:hAnsi="Arial" w:cs="Arial"/>
                <w:sz w:val="20"/>
                <w:szCs w:val="20"/>
              </w:rPr>
              <w:t>142</w:t>
            </w:r>
          </w:p>
        </w:tc>
        <w:tc>
          <w:tcPr>
            <w:tcW w:w="1931" w:type="dxa"/>
          </w:tcPr>
          <w:p w:rsidR="00104A2F" w:rsidRPr="0051332A" w:rsidRDefault="007A5EEA" w:rsidP="0009574A">
            <w:pPr>
              <w:pStyle w:val="ListParagraph"/>
              <w:ind w:left="0"/>
              <w:jc w:val="center"/>
              <w:rPr>
                <w:rFonts w:ascii="Arial" w:hAnsi="Arial" w:cs="Arial"/>
                <w:sz w:val="20"/>
                <w:szCs w:val="20"/>
              </w:rPr>
            </w:pPr>
            <w:r w:rsidRPr="0051332A">
              <w:rPr>
                <w:rFonts w:ascii="Arial" w:hAnsi="Arial" w:cs="Arial"/>
                <w:sz w:val="20"/>
                <w:szCs w:val="20"/>
              </w:rPr>
              <w:t>17</w:t>
            </w:r>
          </w:p>
        </w:tc>
        <w:tc>
          <w:tcPr>
            <w:tcW w:w="1931" w:type="dxa"/>
          </w:tcPr>
          <w:p w:rsidR="00104A2F" w:rsidRPr="0051332A" w:rsidRDefault="007A5EEA" w:rsidP="0009574A">
            <w:pPr>
              <w:pStyle w:val="ListParagraph"/>
              <w:ind w:left="0"/>
              <w:jc w:val="center"/>
              <w:rPr>
                <w:rFonts w:ascii="Arial" w:hAnsi="Arial" w:cs="Arial"/>
                <w:sz w:val="20"/>
                <w:szCs w:val="20"/>
              </w:rPr>
            </w:pPr>
            <w:r w:rsidRPr="0051332A">
              <w:rPr>
                <w:rFonts w:ascii="Arial" w:hAnsi="Arial" w:cs="Arial"/>
                <w:sz w:val="20"/>
                <w:szCs w:val="20"/>
              </w:rPr>
              <w:t>159</w:t>
            </w:r>
          </w:p>
        </w:tc>
      </w:tr>
      <w:tr w:rsidR="007A5EEA" w:rsidRPr="0051332A" w:rsidTr="0051332A">
        <w:trPr>
          <w:trHeight w:val="334"/>
          <w:jc w:val="center"/>
        </w:trPr>
        <w:tc>
          <w:tcPr>
            <w:tcW w:w="1931" w:type="dxa"/>
            <w:shd w:val="clear" w:color="auto" w:fill="F2F2F2" w:themeFill="background1" w:themeFillShade="F2"/>
          </w:tcPr>
          <w:p w:rsidR="00276BDF" w:rsidRPr="0051332A" w:rsidRDefault="007A5EEA" w:rsidP="0051332A">
            <w:pPr>
              <w:pStyle w:val="ListParagraph"/>
              <w:ind w:left="0"/>
              <w:rPr>
                <w:rFonts w:ascii="Arial" w:hAnsi="Arial" w:cs="Arial"/>
                <w:b/>
                <w:sz w:val="20"/>
                <w:szCs w:val="20"/>
              </w:rPr>
            </w:pPr>
            <w:r w:rsidRPr="0051332A">
              <w:rPr>
                <w:rFonts w:ascii="Arial" w:hAnsi="Arial" w:cs="Arial"/>
                <w:b/>
                <w:sz w:val="20"/>
                <w:szCs w:val="20"/>
              </w:rPr>
              <w:t>TOTAL</w:t>
            </w:r>
          </w:p>
        </w:tc>
        <w:tc>
          <w:tcPr>
            <w:tcW w:w="1931" w:type="dxa"/>
            <w:shd w:val="clear" w:color="auto" w:fill="F2F2F2" w:themeFill="background1" w:themeFillShade="F2"/>
          </w:tcPr>
          <w:p w:rsidR="007A5EEA" w:rsidRPr="0051332A" w:rsidRDefault="00B07029" w:rsidP="0009574A">
            <w:pPr>
              <w:pStyle w:val="ListParagraph"/>
              <w:ind w:left="0"/>
              <w:jc w:val="center"/>
              <w:rPr>
                <w:rFonts w:ascii="Arial" w:hAnsi="Arial" w:cs="Arial"/>
                <w:b/>
                <w:sz w:val="20"/>
                <w:szCs w:val="20"/>
              </w:rPr>
            </w:pPr>
            <w:r w:rsidRPr="0051332A">
              <w:rPr>
                <w:rFonts w:ascii="Arial" w:hAnsi="Arial" w:cs="Arial"/>
                <w:b/>
                <w:sz w:val="20"/>
                <w:szCs w:val="20"/>
              </w:rPr>
              <w:t>9448</w:t>
            </w:r>
          </w:p>
        </w:tc>
        <w:tc>
          <w:tcPr>
            <w:tcW w:w="1931" w:type="dxa"/>
            <w:shd w:val="clear" w:color="auto" w:fill="F2F2F2" w:themeFill="background1" w:themeFillShade="F2"/>
          </w:tcPr>
          <w:p w:rsidR="007A5EEA" w:rsidRPr="0051332A" w:rsidRDefault="00B07029" w:rsidP="0009574A">
            <w:pPr>
              <w:pStyle w:val="ListParagraph"/>
              <w:ind w:left="0"/>
              <w:jc w:val="center"/>
              <w:rPr>
                <w:rFonts w:ascii="Arial" w:hAnsi="Arial" w:cs="Arial"/>
                <w:b/>
                <w:sz w:val="20"/>
                <w:szCs w:val="20"/>
              </w:rPr>
            </w:pPr>
            <w:r w:rsidRPr="0051332A">
              <w:rPr>
                <w:rFonts w:ascii="Arial" w:hAnsi="Arial" w:cs="Arial"/>
                <w:b/>
                <w:sz w:val="20"/>
                <w:szCs w:val="20"/>
              </w:rPr>
              <w:t>2033</w:t>
            </w:r>
          </w:p>
        </w:tc>
        <w:tc>
          <w:tcPr>
            <w:tcW w:w="1931" w:type="dxa"/>
            <w:shd w:val="clear" w:color="auto" w:fill="F2F2F2" w:themeFill="background1" w:themeFillShade="F2"/>
          </w:tcPr>
          <w:p w:rsidR="007A5EEA" w:rsidRPr="0051332A" w:rsidRDefault="00B07029" w:rsidP="0009574A">
            <w:pPr>
              <w:pStyle w:val="ListParagraph"/>
              <w:ind w:left="0"/>
              <w:jc w:val="center"/>
              <w:rPr>
                <w:rFonts w:ascii="Arial" w:hAnsi="Arial" w:cs="Arial"/>
                <w:b/>
                <w:sz w:val="20"/>
                <w:szCs w:val="20"/>
              </w:rPr>
            </w:pPr>
            <w:r w:rsidRPr="0051332A">
              <w:rPr>
                <w:rFonts w:ascii="Arial" w:hAnsi="Arial" w:cs="Arial"/>
                <w:b/>
                <w:sz w:val="20"/>
                <w:szCs w:val="20"/>
              </w:rPr>
              <w:t>11</w:t>
            </w:r>
            <w:r w:rsidR="0019759B">
              <w:rPr>
                <w:rFonts w:ascii="Arial" w:hAnsi="Arial" w:cs="Arial"/>
                <w:b/>
                <w:sz w:val="20"/>
                <w:szCs w:val="20"/>
              </w:rPr>
              <w:t>,</w:t>
            </w:r>
            <w:r w:rsidRPr="0051332A">
              <w:rPr>
                <w:rFonts w:ascii="Arial" w:hAnsi="Arial" w:cs="Arial"/>
                <w:b/>
                <w:sz w:val="20"/>
                <w:szCs w:val="20"/>
              </w:rPr>
              <w:t>481</w:t>
            </w:r>
          </w:p>
        </w:tc>
      </w:tr>
    </w:tbl>
    <w:p w:rsidR="00A5387F" w:rsidRPr="0051332A" w:rsidRDefault="005472B1" w:rsidP="0051332A">
      <w:pPr>
        <w:ind w:firstLine="720"/>
        <w:rPr>
          <w:rFonts w:ascii="Arial" w:hAnsi="Arial" w:cs="Arial"/>
          <w:sz w:val="18"/>
          <w:szCs w:val="18"/>
        </w:rPr>
      </w:pPr>
      <w:r>
        <w:rPr>
          <w:rFonts w:ascii="Arial" w:hAnsi="Arial" w:cs="Arial"/>
          <w:sz w:val="18"/>
          <w:szCs w:val="18"/>
        </w:rPr>
        <w:t>Source: Do</w:t>
      </w:r>
      <w:r w:rsidR="006D5493" w:rsidRPr="0051332A">
        <w:rPr>
          <w:rFonts w:ascii="Arial" w:hAnsi="Arial" w:cs="Arial"/>
          <w:sz w:val="18"/>
          <w:szCs w:val="18"/>
        </w:rPr>
        <w:t xml:space="preserve">E </w:t>
      </w:r>
      <w:r w:rsidR="0009574A" w:rsidRPr="0051332A">
        <w:rPr>
          <w:rFonts w:ascii="Arial" w:hAnsi="Arial" w:cs="Arial"/>
          <w:sz w:val="18"/>
          <w:szCs w:val="18"/>
        </w:rPr>
        <w:t>Analytical Services</w:t>
      </w:r>
    </w:p>
    <w:p w:rsidR="002307CD" w:rsidRDefault="002307CD" w:rsidP="000B45BA">
      <w:pPr>
        <w:pStyle w:val="ListParagraph"/>
        <w:rPr>
          <w:rFonts w:ascii="Arial" w:hAnsi="Arial" w:cs="Arial"/>
          <w:b/>
        </w:rPr>
      </w:pPr>
    </w:p>
    <w:p w:rsidR="00A5387F" w:rsidRPr="002307CD" w:rsidRDefault="00C24275" w:rsidP="000B45BA">
      <w:pPr>
        <w:pStyle w:val="ListParagraph"/>
        <w:rPr>
          <w:rFonts w:ascii="Arial" w:hAnsi="Arial" w:cs="Arial"/>
          <w:b/>
        </w:rPr>
      </w:pPr>
      <w:r w:rsidRPr="002307CD">
        <w:rPr>
          <w:rFonts w:ascii="Arial" w:hAnsi="Arial" w:cs="Arial"/>
          <w:b/>
        </w:rPr>
        <w:t>Chart 1: Planning Decisions</w:t>
      </w:r>
      <w:r w:rsidR="00C4317B" w:rsidRPr="002307CD">
        <w:rPr>
          <w:rFonts w:ascii="Arial" w:hAnsi="Arial" w:cs="Arial"/>
          <w:b/>
        </w:rPr>
        <w:t xml:space="preserve"> issued</w:t>
      </w:r>
      <w:r w:rsidRPr="002307CD">
        <w:rPr>
          <w:rFonts w:ascii="Arial" w:hAnsi="Arial" w:cs="Arial"/>
          <w:b/>
        </w:rPr>
        <w:t xml:space="preserve"> for Rural New Single Dwellings (Full, Outline &amp; Reserved Matters) in Council Area </w:t>
      </w:r>
      <w:r w:rsidR="001030A1" w:rsidRPr="002307CD">
        <w:rPr>
          <w:rFonts w:ascii="Arial" w:hAnsi="Arial" w:cs="Arial"/>
          <w:b/>
        </w:rPr>
        <w:t>(</w:t>
      </w:r>
      <w:r w:rsidRPr="002307CD">
        <w:rPr>
          <w:rFonts w:ascii="Arial" w:hAnsi="Arial" w:cs="Arial"/>
          <w:b/>
        </w:rPr>
        <w:t>2004-5 to 2014-15 financial years</w:t>
      </w:r>
      <w:r w:rsidR="001030A1" w:rsidRPr="002307CD">
        <w:rPr>
          <w:rFonts w:ascii="Arial" w:hAnsi="Arial" w:cs="Arial"/>
          <w:b/>
        </w:rPr>
        <w:t>)</w:t>
      </w:r>
    </w:p>
    <w:p w:rsidR="00C24275" w:rsidRPr="00D80D50" w:rsidRDefault="00C24275" w:rsidP="000B45BA">
      <w:pPr>
        <w:pStyle w:val="ListParagraph"/>
        <w:rPr>
          <w:rFonts w:ascii="Arial" w:hAnsi="Arial" w:cs="Arial"/>
          <w:b/>
          <w:sz w:val="24"/>
          <w:szCs w:val="24"/>
        </w:rPr>
      </w:pPr>
    </w:p>
    <w:p w:rsidR="00A5387F" w:rsidRPr="00D80D50" w:rsidRDefault="00C24275" w:rsidP="000B45BA">
      <w:pPr>
        <w:pStyle w:val="ListParagraph"/>
        <w:rPr>
          <w:rFonts w:ascii="Arial" w:hAnsi="Arial" w:cs="Arial"/>
          <w:b/>
          <w:sz w:val="24"/>
          <w:szCs w:val="24"/>
        </w:rPr>
      </w:pPr>
      <w:r w:rsidRPr="00D80D50">
        <w:rPr>
          <w:rFonts w:ascii="Arial" w:hAnsi="Arial" w:cs="Arial"/>
          <w:noProof/>
          <w:sz w:val="24"/>
          <w:szCs w:val="24"/>
          <w:lang w:eastAsia="en-GB"/>
        </w:rPr>
        <w:drawing>
          <wp:inline distT="0" distB="0" distL="0" distR="0" wp14:anchorId="634F4AD4" wp14:editId="54AB6CDB">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B45BA" w:rsidRDefault="002B5807" w:rsidP="0051332A">
      <w:pPr>
        <w:pStyle w:val="ListParagraph"/>
        <w:ind w:left="709"/>
        <w:rPr>
          <w:rFonts w:ascii="Arial" w:hAnsi="Arial" w:cs="Arial"/>
          <w:sz w:val="18"/>
          <w:szCs w:val="18"/>
        </w:rPr>
      </w:pPr>
      <w:r w:rsidRPr="0051332A">
        <w:rPr>
          <w:rFonts w:ascii="Arial" w:hAnsi="Arial" w:cs="Arial"/>
          <w:sz w:val="18"/>
          <w:szCs w:val="18"/>
        </w:rPr>
        <w:t xml:space="preserve">Source: Figures from </w:t>
      </w:r>
      <w:r w:rsidR="005472B1">
        <w:rPr>
          <w:rFonts w:ascii="Arial" w:hAnsi="Arial" w:cs="Arial"/>
          <w:sz w:val="18"/>
          <w:szCs w:val="18"/>
        </w:rPr>
        <w:t>Do</w:t>
      </w:r>
      <w:r w:rsidR="00EE6B5C" w:rsidRPr="0051332A">
        <w:rPr>
          <w:rFonts w:ascii="Arial" w:hAnsi="Arial" w:cs="Arial"/>
          <w:sz w:val="18"/>
          <w:szCs w:val="18"/>
        </w:rPr>
        <w:t>E</w:t>
      </w:r>
    </w:p>
    <w:p w:rsidR="00833941" w:rsidRDefault="00833941" w:rsidP="0051332A">
      <w:pPr>
        <w:pStyle w:val="ListParagraph"/>
        <w:ind w:left="709"/>
        <w:rPr>
          <w:rFonts w:ascii="Arial" w:hAnsi="Arial" w:cs="Arial"/>
          <w:sz w:val="18"/>
          <w:szCs w:val="18"/>
        </w:rPr>
      </w:pPr>
    </w:p>
    <w:p w:rsidR="00833941" w:rsidRDefault="00833941" w:rsidP="0051332A">
      <w:pPr>
        <w:pStyle w:val="ListParagraph"/>
        <w:ind w:left="709"/>
        <w:rPr>
          <w:rFonts w:ascii="Arial" w:hAnsi="Arial" w:cs="Arial"/>
          <w:sz w:val="18"/>
          <w:szCs w:val="18"/>
        </w:rPr>
      </w:pPr>
    </w:p>
    <w:p w:rsidR="002307CD" w:rsidRPr="0051332A" w:rsidRDefault="002307CD" w:rsidP="0051332A">
      <w:pPr>
        <w:pStyle w:val="ListParagraph"/>
        <w:ind w:left="709"/>
        <w:rPr>
          <w:rFonts w:ascii="Arial" w:hAnsi="Arial" w:cs="Arial"/>
          <w:sz w:val="18"/>
          <w:szCs w:val="18"/>
        </w:rPr>
      </w:pPr>
    </w:p>
    <w:p w:rsidR="007236D0" w:rsidRPr="002307CD" w:rsidRDefault="004D4EB0" w:rsidP="007236D0">
      <w:pPr>
        <w:pStyle w:val="EndnoteText"/>
        <w:numPr>
          <w:ilvl w:val="0"/>
          <w:numId w:val="2"/>
        </w:numPr>
        <w:jc w:val="both"/>
        <w:rPr>
          <w:rFonts w:ascii="Arial" w:hAnsi="Arial" w:cs="Arial"/>
          <w:color w:val="000000" w:themeColor="text1"/>
          <w:sz w:val="28"/>
          <w:szCs w:val="28"/>
        </w:rPr>
      </w:pPr>
      <w:r w:rsidRPr="002307CD">
        <w:rPr>
          <w:rFonts w:ascii="Arial" w:hAnsi="Arial" w:cs="Arial"/>
          <w:b/>
          <w:color w:val="000000" w:themeColor="text1"/>
          <w:sz w:val="28"/>
          <w:szCs w:val="28"/>
        </w:rPr>
        <w:lastRenderedPageBreak/>
        <w:t xml:space="preserve">Summary of </w:t>
      </w:r>
      <w:r w:rsidR="00AA09E0" w:rsidRPr="002307CD">
        <w:rPr>
          <w:rFonts w:ascii="Arial" w:hAnsi="Arial" w:cs="Arial"/>
          <w:b/>
          <w:color w:val="000000" w:themeColor="text1"/>
          <w:sz w:val="28"/>
          <w:szCs w:val="28"/>
        </w:rPr>
        <w:t>Analysis</w:t>
      </w:r>
      <w:r w:rsidRPr="002307CD">
        <w:rPr>
          <w:rFonts w:ascii="Arial" w:hAnsi="Arial" w:cs="Arial"/>
          <w:b/>
          <w:color w:val="000000" w:themeColor="text1"/>
          <w:sz w:val="28"/>
          <w:szCs w:val="28"/>
        </w:rPr>
        <w:t xml:space="preserve"> </w:t>
      </w:r>
    </w:p>
    <w:p w:rsidR="007F0D0F" w:rsidRPr="00D80D50" w:rsidRDefault="007F0D0F" w:rsidP="007F0D0F">
      <w:pPr>
        <w:pStyle w:val="EndnoteText"/>
        <w:ind w:left="720"/>
        <w:jc w:val="both"/>
        <w:rPr>
          <w:rFonts w:ascii="Arial" w:hAnsi="Arial" w:cs="Arial"/>
          <w:color w:val="000000" w:themeColor="text1"/>
          <w:sz w:val="24"/>
          <w:szCs w:val="24"/>
        </w:rPr>
      </w:pPr>
    </w:p>
    <w:p w:rsidR="007236D0" w:rsidRPr="00D80D50" w:rsidRDefault="00281A84" w:rsidP="00384661">
      <w:pPr>
        <w:pStyle w:val="EndnoteText"/>
        <w:numPr>
          <w:ilvl w:val="1"/>
          <w:numId w:val="2"/>
        </w:numPr>
        <w:ind w:left="709" w:hanging="709"/>
        <w:rPr>
          <w:rFonts w:ascii="Arial" w:hAnsi="Arial" w:cs="Arial"/>
          <w:color w:val="000000" w:themeColor="text1"/>
          <w:sz w:val="24"/>
          <w:szCs w:val="24"/>
        </w:rPr>
      </w:pPr>
      <w:r>
        <w:rPr>
          <w:rFonts w:ascii="Arial" w:hAnsi="Arial" w:cs="Arial"/>
          <w:color w:val="000000" w:themeColor="text1"/>
          <w:sz w:val="24"/>
          <w:szCs w:val="24"/>
        </w:rPr>
        <w:t>Chart 1 illustrates the number of planning decisions issued for rural new single dwellings. The a</w:t>
      </w:r>
      <w:r w:rsidR="004D4EB0" w:rsidRPr="00D80D50">
        <w:rPr>
          <w:rFonts w:ascii="Arial" w:hAnsi="Arial" w:cs="Arial"/>
          <w:color w:val="000000" w:themeColor="text1"/>
          <w:sz w:val="24"/>
          <w:szCs w:val="24"/>
        </w:rPr>
        <w:t>ccelerated increase during the period 2005</w:t>
      </w:r>
      <w:r w:rsidR="00C4317B" w:rsidRPr="00D80D50">
        <w:rPr>
          <w:rFonts w:ascii="Arial" w:hAnsi="Arial" w:cs="Arial"/>
          <w:color w:val="000000" w:themeColor="text1"/>
          <w:sz w:val="24"/>
          <w:szCs w:val="24"/>
        </w:rPr>
        <w:t>/06</w:t>
      </w:r>
      <w:r w:rsidR="004D4EB0" w:rsidRPr="00D80D50">
        <w:rPr>
          <w:rFonts w:ascii="Arial" w:hAnsi="Arial" w:cs="Arial"/>
          <w:color w:val="000000" w:themeColor="text1"/>
          <w:sz w:val="24"/>
          <w:szCs w:val="24"/>
        </w:rPr>
        <w:t xml:space="preserve"> to 2007</w:t>
      </w:r>
      <w:r w:rsidR="00C4317B" w:rsidRPr="00D80D50">
        <w:rPr>
          <w:rFonts w:ascii="Arial" w:hAnsi="Arial" w:cs="Arial"/>
          <w:color w:val="000000" w:themeColor="text1"/>
          <w:sz w:val="24"/>
          <w:szCs w:val="24"/>
        </w:rPr>
        <w:t>/08</w:t>
      </w:r>
      <w:r w:rsidR="004D4EB0" w:rsidRPr="00D80D50">
        <w:rPr>
          <w:rFonts w:ascii="Arial" w:hAnsi="Arial" w:cs="Arial"/>
          <w:color w:val="000000" w:themeColor="text1"/>
          <w:sz w:val="24"/>
          <w:szCs w:val="24"/>
        </w:rPr>
        <w:t xml:space="preserve"> is clearly </w:t>
      </w:r>
      <w:r w:rsidRPr="00D80D50">
        <w:rPr>
          <w:rFonts w:ascii="Arial" w:hAnsi="Arial" w:cs="Arial"/>
          <w:color w:val="000000" w:themeColor="text1"/>
          <w:sz w:val="24"/>
          <w:szCs w:val="24"/>
        </w:rPr>
        <w:t>evident</w:t>
      </w:r>
      <w:r>
        <w:rPr>
          <w:rFonts w:ascii="Arial" w:hAnsi="Arial" w:cs="Arial"/>
          <w:color w:val="000000" w:themeColor="text1"/>
          <w:sz w:val="24"/>
          <w:szCs w:val="24"/>
        </w:rPr>
        <w:t>.</w:t>
      </w:r>
      <w:r w:rsidRPr="00D80D50">
        <w:rPr>
          <w:rFonts w:ascii="Arial" w:hAnsi="Arial" w:cs="Arial"/>
          <w:color w:val="000000" w:themeColor="text1"/>
          <w:sz w:val="24"/>
          <w:szCs w:val="24"/>
        </w:rPr>
        <w:t xml:space="preserve"> This</w:t>
      </w:r>
      <w:r w:rsidR="00C4317B" w:rsidRPr="00D80D50">
        <w:rPr>
          <w:rFonts w:ascii="Arial" w:hAnsi="Arial" w:cs="Arial"/>
          <w:color w:val="000000" w:themeColor="text1"/>
          <w:sz w:val="24"/>
          <w:szCs w:val="24"/>
        </w:rPr>
        <w:t xml:space="preserve"> reflects</w:t>
      </w:r>
      <w:r w:rsidR="004D4EB0" w:rsidRPr="00D80D50">
        <w:rPr>
          <w:rFonts w:ascii="Arial" w:hAnsi="Arial" w:cs="Arial"/>
          <w:color w:val="000000" w:themeColor="text1"/>
          <w:sz w:val="24"/>
          <w:szCs w:val="24"/>
        </w:rPr>
        <w:t xml:space="preserve"> the high increase in planning applications submitted prior to the introduction of draft PPS 14 in March 2006. </w:t>
      </w:r>
    </w:p>
    <w:p w:rsidR="00C4317B" w:rsidRPr="00D80D50" w:rsidRDefault="00C4317B" w:rsidP="00384661">
      <w:pPr>
        <w:pStyle w:val="EndnoteText"/>
        <w:ind w:left="709"/>
        <w:rPr>
          <w:rFonts w:ascii="Arial" w:hAnsi="Arial" w:cs="Arial"/>
          <w:color w:val="000000" w:themeColor="text1"/>
          <w:sz w:val="24"/>
          <w:szCs w:val="24"/>
        </w:rPr>
      </w:pPr>
    </w:p>
    <w:p w:rsidR="007236D0" w:rsidRPr="00D80D50" w:rsidRDefault="004D4EB0" w:rsidP="00384661">
      <w:pPr>
        <w:pStyle w:val="EndnoteText"/>
        <w:numPr>
          <w:ilvl w:val="1"/>
          <w:numId w:val="2"/>
        </w:numPr>
        <w:autoSpaceDE w:val="0"/>
        <w:autoSpaceDN w:val="0"/>
        <w:adjustRightInd w:val="0"/>
        <w:ind w:left="709" w:hanging="709"/>
        <w:rPr>
          <w:rFonts w:ascii="Arial" w:hAnsi="Arial" w:cs="Arial"/>
          <w:color w:val="000000" w:themeColor="text1"/>
          <w:sz w:val="24"/>
          <w:szCs w:val="24"/>
        </w:rPr>
      </w:pPr>
      <w:r w:rsidRPr="00D80D50">
        <w:rPr>
          <w:rFonts w:ascii="Arial" w:hAnsi="Arial" w:cs="Arial"/>
          <w:color w:val="000000" w:themeColor="text1"/>
          <w:sz w:val="24"/>
          <w:szCs w:val="24"/>
        </w:rPr>
        <w:t xml:space="preserve">This increase may be attributed to several reasons, including the increasing trend of people desiring to live in the countryside and the selling off of land by farmers for individual houses. It was also likely fuelled by public fears that a tightening of controls in the countryside was imminent. </w:t>
      </w:r>
      <w:r w:rsidRPr="00B64033">
        <w:rPr>
          <w:rFonts w:ascii="Arial" w:hAnsi="Arial" w:cs="Arial"/>
          <w:color w:val="000000" w:themeColor="text1"/>
          <w:sz w:val="24"/>
          <w:szCs w:val="24"/>
        </w:rPr>
        <w:t>The number of planning d</w:t>
      </w:r>
      <w:r w:rsidR="00B836EC" w:rsidRPr="00B64033">
        <w:rPr>
          <w:rFonts w:ascii="Arial" w:hAnsi="Arial" w:cs="Arial"/>
          <w:color w:val="000000" w:themeColor="text1"/>
          <w:sz w:val="24"/>
          <w:szCs w:val="24"/>
        </w:rPr>
        <w:t>ecisions remained high into 2008/09</w:t>
      </w:r>
      <w:r w:rsidRPr="00B64033">
        <w:rPr>
          <w:rFonts w:ascii="Arial" w:hAnsi="Arial" w:cs="Arial"/>
          <w:color w:val="000000" w:themeColor="text1"/>
          <w:sz w:val="24"/>
          <w:szCs w:val="24"/>
        </w:rPr>
        <w:t xml:space="preserve">, but have since declined  with a </w:t>
      </w:r>
      <w:r w:rsidR="00BA661E" w:rsidRPr="00B64033">
        <w:rPr>
          <w:rFonts w:ascii="Arial" w:hAnsi="Arial" w:cs="Arial"/>
          <w:color w:val="000000" w:themeColor="text1"/>
          <w:sz w:val="24"/>
          <w:szCs w:val="24"/>
        </w:rPr>
        <w:t>noticeably</w:t>
      </w:r>
      <w:r w:rsidRPr="00B64033">
        <w:rPr>
          <w:rFonts w:ascii="Arial" w:hAnsi="Arial" w:cs="Arial"/>
          <w:color w:val="000000" w:themeColor="text1"/>
          <w:sz w:val="24"/>
          <w:szCs w:val="24"/>
        </w:rPr>
        <w:t xml:space="preserve"> small percentage of refusals and an almost 100% approval rate </w:t>
      </w:r>
      <w:r w:rsidR="00C4317B" w:rsidRPr="00B64033">
        <w:rPr>
          <w:rFonts w:ascii="Arial" w:hAnsi="Arial" w:cs="Arial"/>
          <w:color w:val="000000" w:themeColor="text1"/>
          <w:sz w:val="24"/>
          <w:szCs w:val="24"/>
        </w:rPr>
        <w:t>across the Council area</w:t>
      </w:r>
      <w:r w:rsidRPr="00B64033">
        <w:rPr>
          <w:rFonts w:ascii="Arial" w:hAnsi="Arial" w:cs="Arial"/>
          <w:color w:val="000000" w:themeColor="text1"/>
          <w:sz w:val="24"/>
          <w:szCs w:val="24"/>
        </w:rPr>
        <w:t>.</w:t>
      </w:r>
      <w:r w:rsidRPr="00D80D50">
        <w:rPr>
          <w:rFonts w:ascii="Arial" w:hAnsi="Arial" w:cs="Arial"/>
          <w:color w:val="000000" w:themeColor="text1"/>
          <w:sz w:val="24"/>
          <w:szCs w:val="24"/>
        </w:rPr>
        <w:t xml:space="preserve"> </w:t>
      </w:r>
      <w:r w:rsidR="00C4317B" w:rsidRPr="00D80D50">
        <w:rPr>
          <w:rFonts w:ascii="Arial" w:hAnsi="Arial" w:cs="Arial"/>
          <w:color w:val="000000" w:themeColor="text1"/>
          <w:sz w:val="24"/>
          <w:szCs w:val="24"/>
        </w:rPr>
        <w:t xml:space="preserve">It </w:t>
      </w:r>
      <w:r w:rsidR="00D75A08">
        <w:rPr>
          <w:rFonts w:ascii="Arial" w:hAnsi="Arial" w:cs="Arial"/>
          <w:color w:val="000000" w:themeColor="text1"/>
          <w:sz w:val="24"/>
          <w:szCs w:val="24"/>
        </w:rPr>
        <w:t>should</w:t>
      </w:r>
      <w:r w:rsidR="00C4317B" w:rsidRPr="00D80D50">
        <w:rPr>
          <w:rFonts w:ascii="Arial" w:hAnsi="Arial" w:cs="Arial"/>
          <w:color w:val="000000" w:themeColor="text1"/>
          <w:sz w:val="24"/>
          <w:szCs w:val="24"/>
        </w:rPr>
        <w:t xml:space="preserve"> be </w:t>
      </w:r>
      <w:r w:rsidR="00D75A08">
        <w:rPr>
          <w:rFonts w:ascii="Arial" w:hAnsi="Arial" w:cs="Arial"/>
          <w:color w:val="000000" w:themeColor="text1"/>
          <w:sz w:val="24"/>
          <w:szCs w:val="24"/>
        </w:rPr>
        <w:t>noted</w:t>
      </w:r>
      <w:r w:rsidR="00C4317B" w:rsidRPr="00D80D50">
        <w:rPr>
          <w:rFonts w:ascii="Arial" w:hAnsi="Arial" w:cs="Arial"/>
          <w:color w:val="000000" w:themeColor="text1"/>
          <w:sz w:val="24"/>
          <w:szCs w:val="24"/>
        </w:rPr>
        <w:t xml:space="preserve"> that </w:t>
      </w:r>
      <w:r w:rsidRPr="00D80D50">
        <w:rPr>
          <w:rFonts w:ascii="Arial" w:hAnsi="Arial" w:cs="Arial"/>
          <w:color w:val="000000" w:themeColor="text1"/>
          <w:sz w:val="24"/>
          <w:szCs w:val="24"/>
        </w:rPr>
        <w:t xml:space="preserve">decisions on </w:t>
      </w:r>
      <w:r w:rsidR="00C4317B" w:rsidRPr="00D80D50">
        <w:rPr>
          <w:rFonts w:ascii="Arial" w:hAnsi="Arial" w:cs="Arial"/>
          <w:color w:val="000000" w:themeColor="text1"/>
          <w:sz w:val="24"/>
          <w:szCs w:val="24"/>
        </w:rPr>
        <w:t>almost</w:t>
      </w:r>
      <w:r w:rsidRPr="00D80D50">
        <w:rPr>
          <w:rFonts w:ascii="Arial" w:hAnsi="Arial" w:cs="Arial"/>
          <w:color w:val="000000" w:themeColor="text1"/>
          <w:sz w:val="24"/>
          <w:szCs w:val="24"/>
        </w:rPr>
        <w:t xml:space="preserve"> 500 applications were held pending the publication of the final version of PPS 21</w:t>
      </w:r>
      <w:r w:rsidR="00B64033">
        <w:rPr>
          <w:rFonts w:ascii="Arial" w:hAnsi="Arial" w:cs="Arial"/>
          <w:color w:val="000000" w:themeColor="text1"/>
          <w:sz w:val="24"/>
          <w:szCs w:val="24"/>
        </w:rPr>
        <w:t xml:space="preserve"> (June 2010)</w:t>
      </w:r>
      <w:r w:rsidRPr="00D80D50">
        <w:rPr>
          <w:rFonts w:ascii="Arial" w:hAnsi="Arial" w:cs="Arial"/>
          <w:color w:val="000000" w:themeColor="text1"/>
          <w:sz w:val="24"/>
          <w:szCs w:val="24"/>
        </w:rPr>
        <w:t xml:space="preserve">.  These all </w:t>
      </w:r>
      <w:r w:rsidR="00C4317B" w:rsidRPr="00D80D50">
        <w:rPr>
          <w:rFonts w:ascii="Arial" w:hAnsi="Arial" w:cs="Arial"/>
          <w:color w:val="000000" w:themeColor="text1"/>
          <w:sz w:val="24"/>
          <w:szCs w:val="24"/>
        </w:rPr>
        <w:t xml:space="preserve">had </w:t>
      </w:r>
      <w:r w:rsidRPr="00D80D50">
        <w:rPr>
          <w:rFonts w:ascii="Arial" w:hAnsi="Arial" w:cs="Arial"/>
          <w:color w:val="000000" w:themeColor="text1"/>
          <w:sz w:val="24"/>
          <w:szCs w:val="24"/>
        </w:rPr>
        <w:t>to be re</w:t>
      </w:r>
      <w:r w:rsidR="00D75A08">
        <w:rPr>
          <w:rFonts w:ascii="Arial" w:hAnsi="Arial" w:cs="Arial"/>
          <w:color w:val="000000" w:themeColor="text1"/>
          <w:sz w:val="24"/>
          <w:szCs w:val="24"/>
        </w:rPr>
        <w:t>assessed</w:t>
      </w:r>
      <w:r w:rsidRPr="00D80D50">
        <w:rPr>
          <w:rFonts w:ascii="Arial" w:hAnsi="Arial" w:cs="Arial"/>
          <w:color w:val="000000" w:themeColor="text1"/>
          <w:sz w:val="24"/>
          <w:szCs w:val="24"/>
        </w:rPr>
        <w:t xml:space="preserve"> against the policy provisions of PPS 21. Whilst the majority of planning decisions for single dwellings prior to 2006 were outline, the majority of those post-2006 </w:t>
      </w:r>
      <w:r w:rsidR="00C4317B" w:rsidRPr="00D80D50">
        <w:rPr>
          <w:rFonts w:ascii="Arial" w:hAnsi="Arial" w:cs="Arial"/>
          <w:color w:val="000000" w:themeColor="text1"/>
          <w:sz w:val="24"/>
          <w:szCs w:val="24"/>
        </w:rPr>
        <w:t>were</w:t>
      </w:r>
      <w:r w:rsidR="00FE755C">
        <w:rPr>
          <w:rFonts w:ascii="Arial" w:hAnsi="Arial" w:cs="Arial"/>
          <w:color w:val="000000" w:themeColor="text1"/>
          <w:sz w:val="24"/>
          <w:szCs w:val="24"/>
        </w:rPr>
        <w:t xml:space="preserve"> mainly Full and Reserved M</w:t>
      </w:r>
      <w:r w:rsidRPr="00D80D50">
        <w:rPr>
          <w:rFonts w:ascii="Arial" w:hAnsi="Arial" w:cs="Arial"/>
          <w:color w:val="000000" w:themeColor="text1"/>
          <w:sz w:val="24"/>
          <w:szCs w:val="24"/>
        </w:rPr>
        <w:t xml:space="preserve">atters applications. </w:t>
      </w:r>
    </w:p>
    <w:p w:rsidR="00586DF7" w:rsidRPr="00D80D50" w:rsidRDefault="00586DF7" w:rsidP="00384661">
      <w:pPr>
        <w:pStyle w:val="EndnoteText"/>
        <w:autoSpaceDE w:val="0"/>
        <w:autoSpaceDN w:val="0"/>
        <w:adjustRightInd w:val="0"/>
        <w:rPr>
          <w:rFonts w:ascii="Arial" w:hAnsi="Arial" w:cs="Arial"/>
          <w:color w:val="000000" w:themeColor="text1"/>
          <w:sz w:val="24"/>
          <w:szCs w:val="24"/>
        </w:rPr>
      </w:pPr>
    </w:p>
    <w:p w:rsidR="00BC6FD6" w:rsidRPr="009D5A53" w:rsidRDefault="004D4EB0" w:rsidP="00384661">
      <w:pPr>
        <w:pStyle w:val="EndnoteText"/>
        <w:numPr>
          <w:ilvl w:val="1"/>
          <w:numId w:val="2"/>
        </w:numPr>
        <w:autoSpaceDE w:val="0"/>
        <w:autoSpaceDN w:val="0"/>
        <w:adjustRightInd w:val="0"/>
        <w:ind w:left="709" w:hanging="709"/>
        <w:rPr>
          <w:rFonts w:ascii="Arial" w:hAnsi="Arial" w:cs="Arial"/>
          <w:sz w:val="24"/>
          <w:szCs w:val="24"/>
        </w:rPr>
      </w:pPr>
      <w:r w:rsidRPr="00D80D50">
        <w:rPr>
          <w:rFonts w:ascii="Arial" w:hAnsi="Arial" w:cs="Arial"/>
          <w:color w:val="000000" w:themeColor="text1"/>
          <w:sz w:val="24"/>
          <w:szCs w:val="24"/>
        </w:rPr>
        <w:t>If the number of planning applications in rural are</w:t>
      </w:r>
      <w:r w:rsidR="00586DF7" w:rsidRPr="00D80D50">
        <w:rPr>
          <w:rFonts w:ascii="Arial" w:hAnsi="Arial" w:cs="Arial"/>
          <w:color w:val="000000" w:themeColor="text1"/>
          <w:sz w:val="24"/>
          <w:szCs w:val="24"/>
        </w:rPr>
        <w:t>as had continued at the pre-2006/07</w:t>
      </w:r>
      <w:r w:rsidRPr="00D80D50">
        <w:rPr>
          <w:rFonts w:ascii="Arial" w:hAnsi="Arial" w:cs="Arial"/>
          <w:color w:val="000000" w:themeColor="text1"/>
          <w:sz w:val="24"/>
          <w:szCs w:val="24"/>
        </w:rPr>
        <w:t xml:space="preserve"> levels, and had been accompanied by correspondingly high building rates, a point would have been reached whereby unsustainable patterns of development in the countryside would have threatened its value as a regional asset by damaging landscape, biodiversity and natural habitats. </w:t>
      </w:r>
      <w:r w:rsidR="00586DF7" w:rsidRPr="00D80D50">
        <w:rPr>
          <w:rFonts w:ascii="Arial" w:hAnsi="Arial" w:cs="Arial"/>
          <w:color w:val="000000" w:themeColor="text1"/>
          <w:sz w:val="24"/>
          <w:szCs w:val="24"/>
        </w:rPr>
        <w:t xml:space="preserve">The introduction of </w:t>
      </w:r>
      <w:r w:rsidRPr="00D80D50">
        <w:rPr>
          <w:rFonts w:ascii="Arial" w:hAnsi="Arial" w:cs="Arial"/>
          <w:color w:val="000000" w:themeColor="text1"/>
          <w:sz w:val="24"/>
          <w:szCs w:val="24"/>
        </w:rPr>
        <w:t>PPS 21 s</w:t>
      </w:r>
      <w:r w:rsidR="00586DF7" w:rsidRPr="00D80D50">
        <w:rPr>
          <w:rFonts w:ascii="Arial" w:hAnsi="Arial" w:cs="Arial"/>
          <w:color w:val="000000" w:themeColor="text1"/>
          <w:sz w:val="24"/>
          <w:szCs w:val="24"/>
        </w:rPr>
        <w:t>ought</w:t>
      </w:r>
      <w:r w:rsidRPr="00D80D50">
        <w:rPr>
          <w:rFonts w:ascii="Arial" w:hAnsi="Arial" w:cs="Arial"/>
          <w:color w:val="000000" w:themeColor="text1"/>
          <w:sz w:val="24"/>
          <w:szCs w:val="24"/>
        </w:rPr>
        <w:t xml:space="preserve"> to strike a balance between the need to protect the environment while simultaneously sustaining a strong and vibrant rural community. </w:t>
      </w:r>
      <w:r w:rsidR="00F85D7F">
        <w:rPr>
          <w:rFonts w:ascii="Arial" w:hAnsi="Arial" w:cs="Arial"/>
          <w:color w:val="000000" w:themeColor="text1"/>
          <w:sz w:val="24"/>
          <w:szCs w:val="24"/>
        </w:rPr>
        <w:t>I</w:t>
      </w:r>
      <w:r w:rsidRPr="00D80D50">
        <w:rPr>
          <w:rFonts w:ascii="Arial" w:hAnsi="Arial" w:cs="Arial"/>
          <w:color w:val="000000" w:themeColor="text1"/>
          <w:sz w:val="24"/>
          <w:szCs w:val="24"/>
        </w:rPr>
        <w:t xml:space="preserve">t should be noted that the policy provisions of PPS 21 </w:t>
      </w:r>
      <w:r w:rsidR="00FE7C1E" w:rsidRPr="00D80D50">
        <w:rPr>
          <w:rFonts w:ascii="Arial" w:hAnsi="Arial" w:cs="Arial"/>
          <w:color w:val="000000" w:themeColor="text1"/>
          <w:sz w:val="24"/>
          <w:szCs w:val="24"/>
        </w:rPr>
        <w:t>provide a range of different categories of residential development including dwellings on farms, replacement dwellings, dwellings in existing clusters etc. The provision of permitting one dwelling per farm every 10 years could yield 4</w:t>
      </w:r>
      <w:r w:rsidR="00BA661E">
        <w:rPr>
          <w:rFonts w:ascii="Arial" w:hAnsi="Arial" w:cs="Arial"/>
          <w:color w:val="000000" w:themeColor="text1"/>
          <w:sz w:val="24"/>
          <w:szCs w:val="24"/>
        </w:rPr>
        <w:t>,</w:t>
      </w:r>
      <w:r w:rsidR="00FE7C1E" w:rsidRPr="00D80D50">
        <w:rPr>
          <w:rFonts w:ascii="Arial" w:hAnsi="Arial" w:cs="Arial"/>
          <w:color w:val="000000" w:themeColor="text1"/>
          <w:sz w:val="24"/>
          <w:szCs w:val="24"/>
        </w:rPr>
        <w:t xml:space="preserve">969 dwellings based on the current number of farms in the district (DARD Agricultural Census, 2014). </w:t>
      </w:r>
      <w:r w:rsidRPr="00D80D50">
        <w:rPr>
          <w:rFonts w:ascii="Arial" w:hAnsi="Arial" w:cs="Arial"/>
          <w:color w:val="000000" w:themeColor="text1"/>
          <w:sz w:val="24"/>
          <w:szCs w:val="24"/>
        </w:rPr>
        <w:t xml:space="preserve">This </w:t>
      </w:r>
      <w:r w:rsidR="00FE7C1E" w:rsidRPr="00D80D50">
        <w:rPr>
          <w:rFonts w:ascii="Arial" w:hAnsi="Arial" w:cs="Arial"/>
          <w:color w:val="000000" w:themeColor="text1"/>
          <w:sz w:val="24"/>
          <w:szCs w:val="24"/>
        </w:rPr>
        <w:t xml:space="preserve">is </w:t>
      </w:r>
      <w:r w:rsidRPr="00D80D50">
        <w:rPr>
          <w:rFonts w:ascii="Arial" w:hAnsi="Arial" w:cs="Arial"/>
          <w:color w:val="000000" w:themeColor="text1"/>
          <w:sz w:val="24"/>
          <w:szCs w:val="24"/>
        </w:rPr>
        <w:t>an average of some 500 dwellings per year</w:t>
      </w:r>
      <w:r w:rsidR="00FE7C1E" w:rsidRPr="00D80D50">
        <w:rPr>
          <w:rFonts w:ascii="Arial" w:hAnsi="Arial" w:cs="Arial"/>
          <w:color w:val="000000" w:themeColor="text1"/>
          <w:sz w:val="24"/>
          <w:szCs w:val="24"/>
        </w:rPr>
        <w:t xml:space="preserve"> across the council area</w:t>
      </w:r>
      <w:r w:rsidRPr="00D80D50">
        <w:rPr>
          <w:rFonts w:ascii="Arial" w:hAnsi="Arial" w:cs="Arial"/>
          <w:color w:val="000000" w:themeColor="text1"/>
          <w:sz w:val="24"/>
          <w:szCs w:val="24"/>
        </w:rPr>
        <w:t>.</w:t>
      </w:r>
    </w:p>
    <w:p w:rsidR="009D5A53" w:rsidRPr="009D5A53" w:rsidRDefault="009D5A53" w:rsidP="00384661">
      <w:pPr>
        <w:pStyle w:val="EndnoteText"/>
        <w:autoSpaceDE w:val="0"/>
        <w:autoSpaceDN w:val="0"/>
        <w:adjustRightInd w:val="0"/>
        <w:rPr>
          <w:rFonts w:ascii="Arial" w:hAnsi="Arial" w:cs="Arial"/>
          <w:sz w:val="24"/>
          <w:szCs w:val="24"/>
        </w:rPr>
      </w:pPr>
    </w:p>
    <w:p w:rsidR="009D5A53" w:rsidRPr="00D80D50" w:rsidRDefault="0062784C" w:rsidP="00384661">
      <w:pPr>
        <w:pStyle w:val="EndnoteText"/>
        <w:numPr>
          <w:ilvl w:val="1"/>
          <w:numId w:val="2"/>
        </w:numPr>
        <w:autoSpaceDE w:val="0"/>
        <w:autoSpaceDN w:val="0"/>
        <w:adjustRightInd w:val="0"/>
        <w:ind w:left="709" w:hanging="709"/>
        <w:rPr>
          <w:rFonts w:ascii="Arial" w:hAnsi="Arial" w:cs="Arial"/>
          <w:sz w:val="24"/>
          <w:szCs w:val="24"/>
        </w:rPr>
      </w:pPr>
      <w:r>
        <w:rPr>
          <w:rFonts w:ascii="Arial" w:hAnsi="Arial" w:cs="Arial"/>
          <w:sz w:val="24"/>
          <w:szCs w:val="24"/>
        </w:rPr>
        <w:t>Overall, t</w:t>
      </w:r>
      <w:r w:rsidR="009D5A53">
        <w:rPr>
          <w:rFonts w:ascii="Arial" w:hAnsi="Arial" w:cs="Arial"/>
          <w:sz w:val="24"/>
          <w:szCs w:val="24"/>
        </w:rPr>
        <w:t xml:space="preserve">he number of approvals has steadily declined since 2010 and in the last three years (2012-2015) </w:t>
      </w:r>
      <w:r w:rsidR="008B4ABE">
        <w:rPr>
          <w:rFonts w:ascii="Arial" w:hAnsi="Arial" w:cs="Arial"/>
          <w:sz w:val="24"/>
          <w:szCs w:val="24"/>
        </w:rPr>
        <w:t>during which time PPS 21 has</w:t>
      </w:r>
      <w:r w:rsidR="005D5506">
        <w:rPr>
          <w:rFonts w:ascii="Arial" w:hAnsi="Arial" w:cs="Arial"/>
          <w:sz w:val="24"/>
          <w:szCs w:val="24"/>
        </w:rPr>
        <w:t xml:space="preserve"> ‘bedded in’ </w:t>
      </w:r>
      <w:r w:rsidR="009D5A53">
        <w:rPr>
          <w:rFonts w:ascii="Arial" w:hAnsi="Arial" w:cs="Arial"/>
          <w:sz w:val="24"/>
          <w:szCs w:val="24"/>
        </w:rPr>
        <w:t>the average number approved per year in Fermanagh and Omagh has been significantly lower</w:t>
      </w:r>
      <w:r>
        <w:rPr>
          <w:rFonts w:ascii="Arial" w:hAnsi="Arial" w:cs="Arial"/>
          <w:sz w:val="24"/>
          <w:szCs w:val="24"/>
        </w:rPr>
        <w:t xml:space="preserve">, with an average of 169 approvals per year. </w:t>
      </w:r>
      <w:r w:rsidR="005D5506">
        <w:rPr>
          <w:rFonts w:ascii="Arial" w:hAnsi="Arial" w:cs="Arial"/>
          <w:sz w:val="24"/>
          <w:szCs w:val="24"/>
        </w:rPr>
        <w:t xml:space="preserve"> </w:t>
      </w:r>
      <w:r>
        <w:rPr>
          <w:rFonts w:ascii="Arial" w:hAnsi="Arial" w:cs="Arial"/>
          <w:sz w:val="24"/>
          <w:szCs w:val="24"/>
        </w:rPr>
        <w:t>If t</w:t>
      </w:r>
      <w:r w:rsidR="00AD451C">
        <w:rPr>
          <w:rFonts w:ascii="Arial" w:hAnsi="Arial" w:cs="Arial"/>
          <w:sz w:val="24"/>
          <w:szCs w:val="24"/>
        </w:rPr>
        <w:t>his trend were to continue, 2,535</w:t>
      </w:r>
      <w:r>
        <w:rPr>
          <w:rFonts w:ascii="Arial" w:hAnsi="Arial" w:cs="Arial"/>
          <w:sz w:val="24"/>
          <w:szCs w:val="24"/>
        </w:rPr>
        <w:t xml:space="preserve"> approvals would issue in a </w:t>
      </w:r>
      <w:r w:rsidR="00AD451C">
        <w:rPr>
          <w:rFonts w:ascii="Arial" w:hAnsi="Arial" w:cs="Arial"/>
          <w:sz w:val="24"/>
          <w:szCs w:val="24"/>
        </w:rPr>
        <w:t>fifteen year period.</w:t>
      </w:r>
      <w:r>
        <w:rPr>
          <w:rFonts w:ascii="Arial" w:hAnsi="Arial" w:cs="Arial"/>
          <w:sz w:val="24"/>
          <w:szCs w:val="24"/>
        </w:rPr>
        <w:t xml:space="preserve"> </w:t>
      </w:r>
    </w:p>
    <w:p w:rsidR="0084704B" w:rsidRPr="00D80D50" w:rsidRDefault="0084704B" w:rsidP="00384661">
      <w:pPr>
        <w:pStyle w:val="EndnoteText"/>
        <w:autoSpaceDE w:val="0"/>
        <w:autoSpaceDN w:val="0"/>
        <w:adjustRightInd w:val="0"/>
        <w:rPr>
          <w:rFonts w:ascii="Arial" w:hAnsi="Arial" w:cs="Arial"/>
          <w:sz w:val="24"/>
          <w:szCs w:val="24"/>
        </w:rPr>
      </w:pPr>
    </w:p>
    <w:p w:rsidR="0014034E" w:rsidRPr="00D80D50" w:rsidRDefault="003F45FC" w:rsidP="00384661">
      <w:pPr>
        <w:pStyle w:val="EndnoteText"/>
        <w:numPr>
          <w:ilvl w:val="1"/>
          <w:numId w:val="2"/>
        </w:numPr>
        <w:autoSpaceDE w:val="0"/>
        <w:autoSpaceDN w:val="0"/>
        <w:adjustRightInd w:val="0"/>
        <w:ind w:left="709" w:hanging="709"/>
        <w:rPr>
          <w:rFonts w:ascii="Arial" w:hAnsi="Arial" w:cs="Arial"/>
          <w:sz w:val="24"/>
          <w:szCs w:val="24"/>
        </w:rPr>
      </w:pPr>
      <w:r w:rsidRPr="00D80D50">
        <w:rPr>
          <w:rFonts w:ascii="Arial" w:hAnsi="Arial" w:cs="Arial"/>
          <w:sz w:val="24"/>
          <w:szCs w:val="24"/>
        </w:rPr>
        <w:t>Map</w:t>
      </w:r>
      <w:r w:rsidR="003A15EE" w:rsidRPr="00D80D50">
        <w:rPr>
          <w:rFonts w:ascii="Arial" w:hAnsi="Arial" w:cs="Arial"/>
          <w:sz w:val="24"/>
          <w:szCs w:val="24"/>
        </w:rPr>
        <w:t xml:space="preserve"> 1 </w:t>
      </w:r>
      <w:r w:rsidRPr="00D80D50">
        <w:rPr>
          <w:rFonts w:ascii="Arial" w:hAnsi="Arial" w:cs="Arial"/>
          <w:sz w:val="24"/>
          <w:szCs w:val="24"/>
        </w:rPr>
        <w:t xml:space="preserve">(Appendix 1) </w:t>
      </w:r>
      <w:r w:rsidR="001C2A7B" w:rsidRPr="00D80D50">
        <w:rPr>
          <w:rFonts w:ascii="Arial" w:hAnsi="Arial" w:cs="Arial"/>
          <w:sz w:val="24"/>
          <w:szCs w:val="24"/>
        </w:rPr>
        <w:t>show</w:t>
      </w:r>
      <w:r w:rsidR="006E2DEE" w:rsidRPr="00D80D50">
        <w:rPr>
          <w:rFonts w:ascii="Arial" w:hAnsi="Arial" w:cs="Arial"/>
          <w:sz w:val="24"/>
          <w:szCs w:val="24"/>
        </w:rPr>
        <w:t>s</w:t>
      </w:r>
      <w:r w:rsidR="004D4EB0" w:rsidRPr="00D80D50">
        <w:rPr>
          <w:rFonts w:ascii="Arial" w:hAnsi="Arial" w:cs="Arial"/>
          <w:sz w:val="24"/>
          <w:szCs w:val="24"/>
        </w:rPr>
        <w:t xml:space="preserve"> the distribution of planning decisions for sin</w:t>
      </w:r>
      <w:r w:rsidR="00C50DA8" w:rsidRPr="00D80D50">
        <w:rPr>
          <w:rFonts w:ascii="Arial" w:hAnsi="Arial" w:cs="Arial"/>
          <w:sz w:val="24"/>
          <w:szCs w:val="24"/>
        </w:rPr>
        <w:t>gle dwellings in the rural area</w:t>
      </w:r>
      <w:r w:rsidR="006973F5" w:rsidRPr="00D80D50">
        <w:rPr>
          <w:rFonts w:ascii="Arial" w:hAnsi="Arial" w:cs="Arial"/>
          <w:sz w:val="24"/>
          <w:szCs w:val="24"/>
        </w:rPr>
        <w:t xml:space="preserve">, cross referenced against 10km grid squares distributed throughout the council area. Each square details the number of applications found within each, and serves as a rudimentary </w:t>
      </w:r>
      <w:r w:rsidR="00363AD7">
        <w:rPr>
          <w:rFonts w:ascii="Arial" w:hAnsi="Arial" w:cs="Arial"/>
          <w:sz w:val="24"/>
          <w:szCs w:val="24"/>
        </w:rPr>
        <w:t>measure</w:t>
      </w:r>
      <w:r w:rsidR="006973F5" w:rsidRPr="00D80D50">
        <w:rPr>
          <w:rFonts w:ascii="Arial" w:hAnsi="Arial" w:cs="Arial"/>
          <w:sz w:val="24"/>
          <w:szCs w:val="24"/>
        </w:rPr>
        <w:t xml:space="preserve"> of decision distribution. </w:t>
      </w:r>
      <w:r w:rsidR="006E2DEE" w:rsidRPr="00D80D50">
        <w:rPr>
          <w:rFonts w:ascii="Arial" w:hAnsi="Arial" w:cs="Arial"/>
          <w:sz w:val="24"/>
          <w:szCs w:val="24"/>
        </w:rPr>
        <w:t>It thus</w:t>
      </w:r>
      <w:r w:rsidR="004D4EB0" w:rsidRPr="00D80D50">
        <w:rPr>
          <w:rFonts w:ascii="Arial" w:hAnsi="Arial" w:cs="Arial"/>
          <w:sz w:val="24"/>
          <w:szCs w:val="24"/>
        </w:rPr>
        <w:t xml:space="preserve"> provide</w:t>
      </w:r>
      <w:r w:rsidR="006973F5" w:rsidRPr="00D80D50">
        <w:rPr>
          <w:rFonts w:ascii="Arial" w:hAnsi="Arial" w:cs="Arial"/>
          <w:sz w:val="24"/>
          <w:szCs w:val="24"/>
        </w:rPr>
        <w:t xml:space="preserve">s a general </w:t>
      </w:r>
      <w:r w:rsidR="004D4EB0" w:rsidRPr="00D80D50">
        <w:rPr>
          <w:rFonts w:ascii="Arial" w:hAnsi="Arial" w:cs="Arial"/>
          <w:sz w:val="24"/>
          <w:szCs w:val="24"/>
        </w:rPr>
        <w:t xml:space="preserve">indication of those areas which are under pressure and those that have little development. </w:t>
      </w:r>
      <w:r w:rsidR="006973F5" w:rsidRPr="00D80D50">
        <w:rPr>
          <w:rFonts w:ascii="Arial" w:hAnsi="Arial" w:cs="Arial"/>
          <w:sz w:val="24"/>
          <w:szCs w:val="24"/>
        </w:rPr>
        <w:t xml:space="preserve">For example, the central </w:t>
      </w:r>
      <w:r w:rsidR="004F5124" w:rsidRPr="00D80D50">
        <w:rPr>
          <w:rFonts w:ascii="Arial" w:hAnsi="Arial" w:cs="Arial"/>
          <w:sz w:val="24"/>
          <w:szCs w:val="24"/>
        </w:rPr>
        <w:t xml:space="preserve">square </w:t>
      </w:r>
      <w:r w:rsidR="006973F5" w:rsidRPr="00D80D50">
        <w:rPr>
          <w:rFonts w:ascii="Arial" w:hAnsi="Arial" w:cs="Arial"/>
          <w:sz w:val="24"/>
          <w:szCs w:val="24"/>
        </w:rPr>
        <w:t>portion of the council area, st</w:t>
      </w:r>
      <w:r w:rsidR="005D5506">
        <w:rPr>
          <w:rFonts w:ascii="Arial" w:hAnsi="Arial" w:cs="Arial"/>
          <w:sz w:val="24"/>
          <w:szCs w:val="24"/>
        </w:rPr>
        <w:t>retching from Kesh in the north-</w:t>
      </w:r>
      <w:r w:rsidR="006973F5" w:rsidRPr="00D80D50">
        <w:rPr>
          <w:rFonts w:ascii="Arial" w:hAnsi="Arial" w:cs="Arial"/>
          <w:sz w:val="24"/>
          <w:szCs w:val="24"/>
        </w:rPr>
        <w:t xml:space="preserve">west to </w:t>
      </w:r>
      <w:proofErr w:type="spellStart"/>
      <w:r w:rsidR="006973F5" w:rsidRPr="00D80D50">
        <w:rPr>
          <w:rFonts w:ascii="Arial" w:hAnsi="Arial" w:cs="Arial"/>
          <w:sz w:val="24"/>
          <w:szCs w:val="24"/>
        </w:rPr>
        <w:t>Seskinore</w:t>
      </w:r>
      <w:proofErr w:type="spellEnd"/>
      <w:r w:rsidR="006973F5" w:rsidRPr="00D80D50">
        <w:rPr>
          <w:rFonts w:ascii="Arial" w:hAnsi="Arial" w:cs="Arial"/>
          <w:sz w:val="24"/>
          <w:szCs w:val="24"/>
        </w:rPr>
        <w:t xml:space="preserve"> in the east, and as far south as Brookeborough in the south east and the countryside adjacent to Enniskillen in the south west</w:t>
      </w:r>
      <w:r w:rsidR="004F5124" w:rsidRPr="00D80D50">
        <w:rPr>
          <w:rFonts w:ascii="Arial" w:hAnsi="Arial" w:cs="Arial"/>
          <w:sz w:val="24"/>
          <w:szCs w:val="24"/>
        </w:rPr>
        <w:t xml:space="preserve">, shows </w:t>
      </w:r>
      <w:r w:rsidR="004F5124" w:rsidRPr="00D80D50">
        <w:rPr>
          <w:rFonts w:ascii="Arial" w:hAnsi="Arial" w:cs="Arial"/>
          <w:sz w:val="24"/>
          <w:szCs w:val="24"/>
        </w:rPr>
        <w:lastRenderedPageBreak/>
        <w:t xml:space="preserve">almost uniformly high pressure </w:t>
      </w:r>
      <w:r w:rsidR="006E2DEE" w:rsidRPr="00D80D50">
        <w:rPr>
          <w:rFonts w:ascii="Arial" w:hAnsi="Arial" w:cs="Arial"/>
          <w:sz w:val="24"/>
          <w:szCs w:val="24"/>
        </w:rPr>
        <w:t>of</w:t>
      </w:r>
      <w:r w:rsidR="004F5124" w:rsidRPr="00D80D50">
        <w:rPr>
          <w:rFonts w:ascii="Arial" w:hAnsi="Arial" w:cs="Arial"/>
          <w:sz w:val="24"/>
          <w:szCs w:val="24"/>
        </w:rPr>
        <w:t xml:space="preserve"> development. </w:t>
      </w:r>
      <w:r w:rsidR="00363AD7">
        <w:rPr>
          <w:rFonts w:ascii="Arial" w:hAnsi="Arial" w:cs="Arial"/>
          <w:sz w:val="24"/>
          <w:szCs w:val="24"/>
        </w:rPr>
        <w:t>T</w:t>
      </w:r>
      <w:r w:rsidR="004F5124" w:rsidRPr="00D80D50">
        <w:rPr>
          <w:rFonts w:ascii="Arial" w:hAnsi="Arial" w:cs="Arial"/>
          <w:sz w:val="24"/>
          <w:szCs w:val="24"/>
        </w:rPr>
        <w:t xml:space="preserve">hese lower lying lands, close to the main road networks </w:t>
      </w:r>
      <w:r w:rsidR="00762A82" w:rsidRPr="00D80D50">
        <w:rPr>
          <w:rFonts w:ascii="Arial" w:hAnsi="Arial" w:cs="Arial"/>
          <w:sz w:val="24"/>
          <w:szCs w:val="24"/>
        </w:rPr>
        <w:t xml:space="preserve">(arterial routes) </w:t>
      </w:r>
      <w:r w:rsidR="004F5124" w:rsidRPr="00D80D50">
        <w:rPr>
          <w:rFonts w:ascii="Arial" w:hAnsi="Arial" w:cs="Arial"/>
          <w:sz w:val="24"/>
          <w:szCs w:val="24"/>
        </w:rPr>
        <w:t xml:space="preserve">between the two main towns of Omagh and Enniskillen, are </w:t>
      </w:r>
      <w:r w:rsidR="00762A82" w:rsidRPr="00D80D50">
        <w:rPr>
          <w:rFonts w:ascii="Arial" w:hAnsi="Arial" w:cs="Arial"/>
          <w:sz w:val="24"/>
          <w:szCs w:val="24"/>
        </w:rPr>
        <w:t xml:space="preserve">more </w:t>
      </w:r>
      <w:r w:rsidR="004F5124" w:rsidRPr="00D80D50">
        <w:rPr>
          <w:rFonts w:ascii="Arial" w:hAnsi="Arial" w:cs="Arial"/>
          <w:sz w:val="24"/>
          <w:szCs w:val="24"/>
        </w:rPr>
        <w:t xml:space="preserve">popular locations for development. </w:t>
      </w:r>
    </w:p>
    <w:p w:rsidR="00C50DA8" w:rsidRPr="00D80D50" w:rsidRDefault="00C50DA8" w:rsidP="00384661">
      <w:pPr>
        <w:pStyle w:val="EndnoteText"/>
        <w:autoSpaceDE w:val="0"/>
        <w:autoSpaceDN w:val="0"/>
        <w:adjustRightInd w:val="0"/>
        <w:ind w:left="709"/>
        <w:rPr>
          <w:rFonts w:ascii="Arial" w:hAnsi="Arial" w:cs="Arial"/>
          <w:sz w:val="24"/>
          <w:szCs w:val="24"/>
        </w:rPr>
      </w:pPr>
    </w:p>
    <w:p w:rsidR="00297DEE" w:rsidRPr="00D80D50" w:rsidRDefault="00C50DA8" w:rsidP="00384661">
      <w:pPr>
        <w:pStyle w:val="EndnoteText"/>
        <w:numPr>
          <w:ilvl w:val="1"/>
          <w:numId w:val="2"/>
        </w:numPr>
        <w:autoSpaceDE w:val="0"/>
        <w:autoSpaceDN w:val="0"/>
        <w:adjustRightInd w:val="0"/>
        <w:ind w:left="709" w:hanging="709"/>
        <w:rPr>
          <w:rFonts w:ascii="Arial" w:hAnsi="Arial" w:cs="Arial"/>
          <w:sz w:val="24"/>
          <w:szCs w:val="24"/>
        </w:rPr>
      </w:pPr>
      <w:r w:rsidRPr="00D80D50">
        <w:rPr>
          <w:rFonts w:ascii="Arial" w:hAnsi="Arial" w:cs="Arial"/>
          <w:sz w:val="24"/>
          <w:szCs w:val="24"/>
        </w:rPr>
        <w:t>Map 2 (Appendix 1) is a statistical analysis of ‘hot spots’ generated by ArcGIS, which has determined whether the clustering of decisions is statistically significant or not. Where there is a very high incidence of clustering (i.e. the 99% confidence measure) these appear as the darkest red colour on the map. Strong, but decreasing</w:t>
      </w:r>
      <w:r w:rsidR="00363AD7">
        <w:rPr>
          <w:rFonts w:ascii="Arial" w:hAnsi="Arial" w:cs="Arial"/>
          <w:sz w:val="24"/>
          <w:szCs w:val="24"/>
        </w:rPr>
        <w:t xml:space="preserve"> </w:t>
      </w:r>
      <w:r w:rsidRPr="00D80D50">
        <w:rPr>
          <w:rFonts w:ascii="Arial" w:hAnsi="Arial" w:cs="Arial"/>
          <w:sz w:val="24"/>
          <w:szCs w:val="24"/>
        </w:rPr>
        <w:t>confidence measures of 95% and 90% are also included as diminishing hues of red/orange. Lastly</w:t>
      </w:r>
      <w:r w:rsidR="00CE4028" w:rsidRPr="00D80D50">
        <w:rPr>
          <w:rFonts w:ascii="Arial" w:hAnsi="Arial" w:cs="Arial"/>
          <w:sz w:val="24"/>
          <w:szCs w:val="24"/>
        </w:rPr>
        <w:t>,</w:t>
      </w:r>
      <w:r w:rsidRPr="00D80D50">
        <w:rPr>
          <w:rFonts w:ascii="Arial" w:hAnsi="Arial" w:cs="Arial"/>
          <w:sz w:val="24"/>
          <w:szCs w:val="24"/>
        </w:rPr>
        <w:t xml:space="preserve"> where there is deemed to be much less statistical significance of clustering, this is shown as the lightest coloured cells on the map.  </w:t>
      </w:r>
    </w:p>
    <w:p w:rsidR="008768EE" w:rsidRPr="00D80D50" w:rsidRDefault="008768EE" w:rsidP="00384661">
      <w:pPr>
        <w:pStyle w:val="EndnoteText"/>
        <w:autoSpaceDE w:val="0"/>
        <w:autoSpaceDN w:val="0"/>
        <w:adjustRightInd w:val="0"/>
        <w:ind w:left="709"/>
        <w:rPr>
          <w:rFonts w:ascii="Arial" w:hAnsi="Arial" w:cs="Arial"/>
          <w:b/>
          <w:sz w:val="24"/>
          <w:szCs w:val="24"/>
        </w:rPr>
      </w:pPr>
    </w:p>
    <w:p w:rsidR="00182900" w:rsidRPr="00D80D50" w:rsidRDefault="00363AD7" w:rsidP="003F17C3">
      <w:pPr>
        <w:pStyle w:val="EndnoteText"/>
        <w:autoSpaceDE w:val="0"/>
        <w:autoSpaceDN w:val="0"/>
        <w:adjustRightInd w:val="0"/>
        <w:ind w:left="709"/>
        <w:jc w:val="both"/>
        <w:rPr>
          <w:rFonts w:ascii="Arial" w:hAnsi="Arial" w:cs="Arial"/>
          <w:b/>
          <w:sz w:val="24"/>
          <w:szCs w:val="24"/>
        </w:rPr>
      </w:pPr>
      <w:r>
        <w:rPr>
          <w:rFonts w:ascii="Arial" w:hAnsi="Arial" w:cs="Arial"/>
          <w:b/>
          <w:sz w:val="24"/>
          <w:szCs w:val="24"/>
        </w:rPr>
        <w:t xml:space="preserve">Locations of </w:t>
      </w:r>
      <w:r w:rsidR="00182900" w:rsidRPr="00D80D50">
        <w:rPr>
          <w:rFonts w:ascii="Arial" w:hAnsi="Arial" w:cs="Arial"/>
          <w:b/>
          <w:sz w:val="24"/>
          <w:szCs w:val="24"/>
        </w:rPr>
        <w:t>Development Pressure</w:t>
      </w:r>
    </w:p>
    <w:p w:rsidR="00C94D5D" w:rsidRPr="00D80D50" w:rsidRDefault="00C94D5D" w:rsidP="00C94D5D">
      <w:pPr>
        <w:pStyle w:val="EndnoteText"/>
        <w:autoSpaceDE w:val="0"/>
        <w:autoSpaceDN w:val="0"/>
        <w:adjustRightInd w:val="0"/>
        <w:jc w:val="both"/>
        <w:rPr>
          <w:rFonts w:ascii="Arial" w:hAnsi="Arial" w:cs="Arial"/>
          <w:sz w:val="24"/>
          <w:szCs w:val="24"/>
        </w:rPr>
      </w:pPr>
    </w:p>
    <w:p w:rsidR="00297DEE" w:rsidRDefault="00297DEE" w:rsidP="00384661">
      <w:pPr>
        <w:pStyle w:val="EndnoteText"/>
        <w:numPr>
          <w:ilvl w:val="1"/>
          <w:numId w:val="2"/>
        </w:numPr>
        <w:autoSpaceDE w:val="0"/>
        <w:autoSpaceDN w:val="0"/>
        <w:adjustRightInd w:val="0"/>
        <w:ind w:left="709" w:hanging="709"/>
        <w:rPr>
          <w:rFonts w:ascii="Arial" w:hAnsi="Arial" w:cs="Arial"/>
          <w:sz w:val="24"/>
          <w:szCs w:val="24"/>
        </w:rPr>
      </w:pPr>
      <w:r w:rsidRPr="00D80D50">
        <w:rPr>
          <w:rFonts w:ascii="Arial" w:hAnsi="Arial" w:cs="Arial"/>
          <w:sz w:val="24"/>
          <w:szCs w:val="24"/>
        </w:rPr>
        <w:t>From this statistical analysis</w:t>
      </w:r>
      <w:r w:rsidR="00C94D5D" w:rsidRPr="00D80D50">
        <w:rPr>
          <w:rFonts w:ascii="Arial" w:hAnsi="Arial" w:cs="Arial"/>
          <w:sz w:val="24"/>
          <w:szCs w:val="24"/>
        </w:rPr>
        <w:t>,</w:t>
      </w:r>
      <w:r w:rsidRPr="00D80D50">
        <w:rPr>
          <w:rFonts w:ascii="Arial" w:hAnsi="Arial" w:cs="Arial"/>
          <w:sz w:val="24"/>
          <w:szCs w:val="24"/>
        </w:rPr>
        <w:t xml:space="preserve"> pressure areas </w:t>
      </w:r>
      <w:r w:rsidR="00C94D5D" w:rsidRPr="00D80D50">
        <w:rPr>
          <w:rFonts w:ascii="Arial" w:hAnsi="Arial" w:cs="Arial"/>
          <w:sz w:val="24"/>
          <w:szCs w:val="24"/>
        </w:rPr>
        <w:t xml:space="preserve">visibly exist in concentrations. </w:t>
      </w:r>
      <w:r w:rsidRPr="00D80D50">
        <w:rPr>
          <w:rFonts w:ascii="Arial" w:hAnsi="Arial" w:cs="Arial"/>
          <w:sz w:val="24"/>
          <w:szCs w:val="24"/>
        </w:rPr>
        <w:t>Noticeably large concentrations exist in:</w:t>
      </w:r>
    </w:p>
    <w:p w:rsidR="00AC67F1" w:rsidRPr="00D80D50" w:rsidRDefault="00AC67F1" w:rsidP="00384661">
      <w:pPr>
        <w:pStyle w:val="EndnoteText"/>
        <w:autoSpaceDE w:val="0"/>
        <w:autoSpaceDN w:val="0"/>
        <w:adjustRightInd w:val="0"/>
        <w:ind w:left="709"/>
        <w:rPr>
          <w:rFonts w:ascii="Arial" w:hAnsi="Arial" w:cs="Arial"/>
          <w:sz w:val="24"/>
          <w:szCs w:val="24"/>
        </w:rPr>
      </w:pPr>
    </w:p>
    <w:p w:rsidR="00297DEE" w:rsidRPr="00D80D50" w:rsidRDefault="003F17C3" w:rsidP="00384661">
      <w:pPr>
        <w:pStyle w:val="EndnoteText"/>
        <w:numPr>
          <w:ilvl w:val="0"/>
          <w:numId w:val="4"/>
        </w:numPr>
        <w:autoSpaceDE w:val="0"/>
        <w:autoSpaceDN w:val="0"/>
        <w:adjustRightInd w:val="0"/>
        <w:rPr>
          <w:rFonts w:ascii="Arial" w:hAnsi="Arial" w:cs="Arial"/>
          <w:sz w:val="24"/>
          <w:szCs w:val="24"/>
        </w:rPr>
      </w:pPr>
      <w:r>
        <w:rPr>
          <w:rFonts w:ascii="Arial" w:hAnsi="Arial" w:cs="Arial"/>
          <w:sz w:val="24"/>
          <w:szCs w:val="24"/>
        </w:rPr>
        <w:t xml:space="preserve">A particularly large area to west of </w:t>
      </w:r>
      <w:proofErr w:type="spellStart"/>
      <w:r w:rsidR="00297DEE" w:rsidRPr="00D80D50">
        <w:rPr>
          <w:rFonts w:ascii="Arial" w:hAnsi="Arial" w:cs="Arial"/>
          <w:sz w:val="24"/>
          <w:szCs w:val="24"/>
        </w:rPr>
        <w:t>Clanabogan</w:t>
      </w:r>
      <w:proofErr w:type="spellEnd"/>
      <w:r w:rsidR="00DA4528" w:rsidRPr="00D80D50">
        <w:rPr>
          <w:rFonts w:ascii="Arial" w:hAnsi="Arial" w:cs="Arial"/>
          <w:sz w:val="24"/>
          <w:szCs w:val="24"/>
        </w:rPr>
        <w:t xml:space="preserve"> (south west of Omagh town)</w:t>
      </w:r>
      <w:r w:rsidR="00297DEE" w:rsidRPr="00D80D50">
        <w:rPr>
          <w:rFonts w:ascii="Arial" w:hAnsi="Arial" w:cs="Arial"/>
          <w:sz w:val="24"/>
          <w:szCs w:val="24"/>
        </w:rPr>
        <w:t>;</w:t>
      </w:r>
    </w:p>
    <w:p w:rsidR="00297DEE" w:rsidRPr="00D80D50" w:rsidRDefault="00297DEE" w:rsidP="00384661">
      <w:pPr>
        <w:pStyle w:val="EndnoteText"/>
        <w:numPr>
          <w:ilvl w:val="0"/>
          <w:numId w:val="4"/>
        </w:numPr>
        <w:autoSpaceDE w:val="0"/>
        <w:autoSpaceDN w:val="0"/>
        <w:adjustRightInd w:val="0"/>
        <w:rPr>
          <w:rFonts w:ascii="Arial" w:hAnsi="Arial" w:cs="Arial"/>
          <w:sz w:val="24"/>
          <w:szCs w:val="24"/>
        </w:rPr>
      </w:pPr>
      <w:r w:rsidRPr="00D80D50">
        <w:rPr>
          <w:rFonts w:ascii="Arial" w:hAnsi="Arial" w:cs="Arial"/>
          <w:sz w:val="24"/>
          <w:szCs w:val="24"/>
        </w:rPr>
        <w:t xml:space="preserve">Countryside area between </w:t>
      </w:r>
      <w:proofErr w:type="spellStart"/>
      <w:r w:rsidRPr="00D80D50">
        <w:rPr>
          <w:rFonts w:ascii="Arial" w:hAnsi="Arial" w:cs="Arial"/>
          <w:sz w:val="24"/>
          <w:szCs w:val="24"/>
        </w:rPr>
        <w:t>Derrygonnelly</w:t>
      </w:r>
      <w:proofErr w:type="spellEnd"/>
      <w:r w:rsidRPr="00D80D50">
        <w:rPr>
          <w:rFonts w:ascii="Arial" w:hAnsi="Arial" w:cs="Arial"/>
          <w:sz w:val="24"/>
          <w:szCs w:val="24"/>
        </w:rPr>
        <w:t xml:space="preserve"> and Monea; </w:t>
      </w:r>
    </w:p>
    <w:p w:rsidR="00297DEE" w:rsidRPr="00D80D50" w:rsidRDefault="00297DEE" w:rsidP="00384661">
      <w:pPr>
        <w:pStyle w:val="EndnoteText"/>
        <w:numPr>
          <w:ilvl w:val="0"/>
          <w:numId w:val="4"/>
        </w:numPr>
        <w:autoSpaceDE w:val="0"/>
        <w:autoSpaceDN w:val="0"/>
        <w:adjustRightInd w:val="0"/>
        <w:rPr>
          <w:rFonts w:ascii="Arial" w:hAnsi="Arial" w:cs="Arial"/>
          <w:sz w:val="24"/>
          <w:szCs w:val="24"/>
        </w:rPr>
      </w:pPr>
      <w:r w:rsidRPr="00D80D50">
        <w:rPr>
          <w:rFonts w:ascii="Arial" w:hAnsi="Arial" w:cs="Arial"/>
          <w:sz w:val="24"/>
          <w:szCs w:val="24"/>
        </w:rPr>
        <w:t xml:space="preserve">Area </w:t>
      </w:r>
      <w:r w:rsidR="003F17C3">
        <w:rPr>
          <w:rFonts w:ascii="Arial" w:hAnsi="Arial" w:cs="Arial"/>
          <w:sz w:val="24"/>
          <w:szCs w:val="24"/>
        </w:rPr>
        <w:t xml:space="preserve">north </w:t>
      </w:r>
      <w:r w:rsidRPr="00D80D50">
        <w:rPr>
          <w:rFonts w:ascii="Arial" w:hAnsi="Arial" w:cs="Arial"/>
          <w:sz w:val="24"/>
          <w:szCs w:val="24"/>
        </w:rPr>
        <w:t>east of Belleek near Lower Lough Erne shore</w:t>
      </w:r>
      <w:r w:rsidR="00237971">
        <w:rPr>
          <w:rFonts w:ascii="Arial" w:hAnsi="Arial" w:cs="Arial"/>
          <w:sz w:val="24"/>
          <w:szCs w:val="24"/>
        </w:rPr>
        <w:t xml:space="preserve">, beyond the DRC of </w:t>
      </w:r>
      <w:proofErr w:type="spellStart"/>
      <w:r w:rsidR="00237971">
        <w:rPr>
          <w:rFonts w:ascii="Arial" w:hAnsi="Arial" w:cs="Arial"/>
          <w:sz w:val="24"/>
          <w:szCs w:val="24"/>
        </w:rPr>
        <w:t>Mulleek</w:t>
      </w:r>
      <w:proofErr w:type="spellEnd"/>
      <w:r w:rsidRPr="00D80D50">
        <w:rPr>
          <w:rFonts w:ascii="Arial" w:hAnsi="Arial" w:cs="Arial"/>
          <w:sz w:val="24"/>
          <w:szCs w:val="24"/>
        </w:rPr>
        <w:t>;</w:t>
      </w:r>
    </w:p>
    <w:p w:rsidR="00297DEE" w:rsidRPr="00D80D50" w:rsidRDefault="00297DEE" w:rsidP="00384661">
      <w:pPr>
        <w:pStyle w:val="EndnoteText"/>
        <w:numPr>
          <w:ilvl w:val="0"/>
          <w:numId w:val="4"/>
        </w:numPr>
        <w:autoSpaceDE w:val="0"/>
        <w:autoSpaceDN w:val="0"/>
        <w:adjustRightInd w:val="0"/>
        <w:rPr>
          <w:rFonts w:ascii="Arial" w:hAnsi="Arial" w:cs="Arial"/>
          <w:sz w:val="24"/>
          <w:szCs w:val="24"/>
        </w:rPr>
      </w:pPr>
      <w:r w:rsidRPr="00D80D50">
        <w:rPr>
          <w:rFonts w:ascii="Arial" w:hAnsi="Arial" w:cs="Arial"/>
          <w:sz w:val="24"/>
          <w:szCs w:val="24"/>
        </w:rPr>
        <w:t xml:space="preserve">Between Lisbellaw and </w:t>
      </w:r>
      <w:proofErr w:type="spellStart"/>
      <w:r w:rsidRPr="00D80D50">
        <w:rPr>
          <w:rFonts w:ascii="Arial" w:hAnsi="Arial" w:cs="Arial"/>
          <w:sz w:val="24"/>
          <w:szCs w:val="24"/>
        </w:rPr>
        <w:t>Maguiresbridge</w:t>
      </w:r>
      <w:proofErr w:type="spellEnd"/>
      <w:r w:rsidRPr="00D80D50">
        <w:rPr>
          <w:rFonts w:ascii="Arial" w:hAnsi="Arial" w:cs="Arial"/>
          <w:sz w:val="24"/>
          <w:szCs w:val="24"/>
        </w:rPr>
        <w:t>;</w:t>
      </w:r>
    </w:p>
    <w:p w:rsidR="00297DEE" w:rsidRPr="00D80D50" w:rsidRDefault="00297DEE" w:rsidP="00384661">
      <w:pPr>
        <w:pStyle w:val="EndnoteText"/>
        <w:numPr>
          <w:ilvl w:val="0"/>
          <w:numId w:val="4"/>
        </w:numPr>
        <w:autoSpaceDE w:val="0"/>
        <w:autoSpaceDN w:val="0"/>
        <w:adjustRightInd w:val="0"/>
        <w:rPr>
          <w:rFonts w:ascii="Arial" w:hAnsi="Arial" w:cs="Arial"/>
          <w:sz w:val="24"/>
          <w:szCs w:val="24"/>
        </w:rPr>
      </w:pPr>
      <w:r w:rsidRPr="00D80D50">
        <w:rPr>
          <w:rFonts w:ascii="Arial" w:hAnsi="Arial" w:cs="Arial"/>
          <w:sz w:val="24"/>
          <w:szCs w:val="24"/>
        </w:rPr>
        <w:t>A pocket of coun</w:t>
      </w:r>
      <w:r w:rsidR="003F17C3">
        <w:rPr>
          <w:rFonts w:ascii="Arial" w:hAnsi="Arial" w:cs="Arial"/>
          <w:sz w:val="24"/>
          <w:szCs w:val="24"/>
        </w:rPr>
        <w:t xml:space="preserve">tryside north east of Lisnaskea, in proximity of the Dispersed Rural Community </w:t>
      </w:r>
      <w:r w:rsidR="00B826FD">
        <w:rPr>
          <w:rFonts w:ascii="Arial" w:hAnsi="Arial" w:cs="Arial"/>
          <w:sz w:val="24"/>
          <w:szCs w:val="24"/>
        </w:rPr>
        <w:t>(DRC) of Knocks;</w:t>
      </w:r>
    </w:p>
    <w:p w:rsidR="00BA0770" w:rsidRPr="00D80D50" w:rsidRDefault="00297DEE" w:rsidP="00384661">
      <w:pPr>
        <w:pStyle w:val="EndnoteText"/>
        <w:numPr>
          <w:ilvl w:val="0"/>
          <w:numId w:val="4"/>
        </w:numPr>
        <w:autoSpaceDE w:val="0"/>
        <w:autoSpaceDN w:val="0"/>
        <w:adjustRightInd w:val="0"/>
        <w:rPr>
          <w:rFonts w:ascii="Arial" w:hAnsi="Arial" w:cs="Arial"/>
          <w:sz w:val="24"/>
          <w:szCs w:val="24"/>
        </w:rPr>
      </w:pPr>
      <w:r w:rsidRPr="00D80D50">
        <w:rPr>
          <w:rFonts w:ascii="Arial" w:hAnsi="Arial" w:cs="Arial"/>
          <w:sz w:val="24"/>
          <w:szCs w:val="24"/>
        </w:rPr>
        <w:t xml:space="preserve">A linear portion of land </w:t>
      </w:r>
      <w:r w:rsidR="00596D6F">
        <w:rPr>
          <w:rFonts w:ascii="Arial" w:hAnsi="Arial" w:cs="Arial"/>
          <w:sz w:val="24"/>
          <w:szCs w:val="24"/>
        </w:rPr>
        <w:t xml:space="preserve">north and east of </w:t>
      </w:r>
      <w:proofErr w:type="spellStart"/>
      <w:r w:rsidRPr="00D80D50">
        <w:rPr>
          <w:rFonts w:ascii="Arial" w:hAnsi="Arial" w:cs="Arial"/>
          <w:sz w:val="24"/>
          <w:szCs w:val="24"/>
        </w:rPr>
        <w:t>Ballinamallard</w:t>
      </w:r>
      <w:proofErr w:type="spellEnd"/>
      <w:r w:rsidR="007246C7">
        <w:rPr>
          <w:rFonts w:ascii="Arial" w:hAnsi="Arial" w:cs="Arial"/>
          <w:sz w:val="24"/>
          <w:szCs w:val="24"/>
        </w:rPr>
        <w:t xml:space="preserve">, (part of which is in the vicinity of </w:t>
      </w:r>
      <w:proofErr w:type="spellStart"/>
      <w:r w:rsidR="007246C7">
        <w:rPr>
          <w:rFonts w:ascii="Arial" w:hAnsi="Arial" w:cs="Arial"/>
          <w:sz w:val="24"/>
          <w:szCs w:val="24"/>
        </w:rPr>
        <w:t>Coa</w:t>
      </w:r>
      <w:proofErr w:type="spellEnd"/>
      <w:r w:rsidR="007246C7">
        <w:rPr>
          <w:rFonts w:ascii="Arial" w:hAnsi="Arial" w:cs="Arial"/>
          <w:sz w:val="24"/>
          <w:szCs w:val="24"/>
        </w:rPr>
        <w:t xml:space="preserve"> DRC).  </w:t>
      </w:r>
    </w:p>
    <w:p w:rsidR="00C94D5D" w:rsidRPr="00D80D50" w:rsidRDefault="00C94D5D" w:rsidP="00384661">
      <w:pPr>
        <w:pStyle w:val="EndnoteText"/>
        <w:autoSpaceDE w:val="0"/>
        <w:autoSpaceDN w:val="0"/>
        <w:adjustRightInd w:val="0"/>
        <w:ind w:left="709"/>
        <w:rPr>
          <w:rFonts w:ascii="Arial" w:hAnsi="Arial" w:cs="Arial"/>
          <w:sz w:val="24"/>
          <w:szCs w:val="24"/>
        </w:rPr>
      </w:pPr>
    </w:p>
    <w:p w:rsidR="00297DEE" w:rsidRDefault="002307CD" w:rsidP="00384661">
      <w:pPr>
        <w:pStyle w:val="EndnoteText"/>
        <w:autoSpaceDE w:val="0"/>
        <w:autoSpaceDN w:val="0"/>
        <w:adjustRightInd w:val="0"/>
        <w:ind w:left="709"/>
        <w:rPr>
          <w:rFonts w:ascii="Arial" w:hAnsi="Arial" w:cs="Arial"/>
          <w:sz w:val="24"/>
          <w:szCs w:val="24"/>
        </w:rPr>
      </w:pPr>
      <w:r>
        <w:rPr>
          <w:rFonts w:ascii="Arial" w:hAnsi="Arial" w:cs="Arial"/>
          <w:sz w:val="24"/>
          <w:szCs w:val="24"/>
        </w:rPr>
        <w:t xml:space="preserve">Map 2 </w:t>
      </w:r>
      <w:r w:rsidR="00C94D5D" w:rsidRPr="00D80D50">
        <w:rPr>
          <w:rFonts w:ascii="Arial" w:hAnsi="Arial" w:cs="Arial"/>
          <w:sz w:val="24"/>
          <w:szCs w:val="24"/>
        </w:rPr>
        <w:t xml:space="preserve">clearly demonstrates the distribution of these pressure areas. </w:t>
      </w:r>
    </w:p>
    <w:p w:rsidR="00AC67F1" w:rsidRPr="00D80D50" w:rsidRDefault="00AC67F1" w:rsidP="00384661">
      <w:pPr>
        <w:pStyle w:val="EndnoteText"/>
        <w:autoSpaceDE w:val="0"/>
        <w:autoSpaceDN w:val="0"/>
        <w:adjustRightInd w:val="0"/>
        <w:ind w:left="709"/>
        <w:rPr>
          <w:rFonts w:ascii="Arial" w:hAnsi="Arial" w:cs="Arial"/>
          <w:sz w:val="24"/>
          <w:szCs w:val="24"/>
        </w:rPr>
      </w:pPr>
    </w:p>
    <w:p w:rsidR="00EA5294" w:rsidRDefault="00C049EC" w:rsidP="00384661">
      <w:pPr>
        <w:pStyle w:val="EndnoteText"/>
        <w:numPr>
          <w:ilvl w:val="1"/>
          <w:numId w:val="2"/>
        </w:numPr>
        <w:autoSpaceDE w:val="0"/>
        <w:autoSpaceDN w:val="0"/>
        <w:adjustRightInd w:val="0"/>
        <w:ind w:left="709" w:hanging="709"/>
        <w:rPr>
          <w:rFonts w:ascii="Arial" w:hAnsi="Arial" w:cs="Arial"/>
          <w:sz w:val="24"/>
          <w:szCs w:val="24"/>
        </w:rPr>
      </w:pPr>
      <w:r w:rsidRPr="00D80D50">
        <w:rPr>
          <w:rFonts w:ascii="Arial" w:hAnsi="Arial" w:cs="Arial"/>
          <w:sz w:val="24"/>
          <w:szCs w:val="24"/>
        </w:rPr>
        <w:t>From Maps 1 and 2, it is clear t</w:t>
      </w:r>
      <w:r w:rsidR="004D4EB0" w:rsidRPr="00D80D50">
        <w:rPr>
          <w:rFonts w:ascii="Arial" w:hAnsi="Arial" w:cs="Arial"/>
          <w:sz w:val="24"/>
          <w:szCs w:val="24"/>
        </w:rPr>
        <w:t xml:space="preserve">here are obvious pressures around </w:t>
      </w:r>
      <w:r w:rsidRPr="00D80D50">
        <w:rPr>
          <w:rFonts w:ascii="Arial" w:hAnsi="Arial" w:cs="Arial"/>
          <w:sz w:val="24"/>
          <w:szCs w:val="24"/>
        </w:rPr>
        <w:t xml:space="preserve">the </w:t>
      </w:r>
      <w:r w:rsidR="004D4EB0" w:rsidRPr="00D80D50">
        <w:rPr>
          <w:rFonts w:ascii="Arial" w:hAnsi="Arial" w:cs="Arial"/>
          <w:sz w:val="24"/>
          <w:szCs w:val="24"/>
        </w:rPr>
        <w:t>Dromore, Fintona, Seskinore and Tattyreagh areas. The</w:t>
      </w:r>
      <w:r w:rsidR="00BA0770" w:rsidRPr="00D80D50">
        <w:rPr>
          <w:rFonts w:ascii="Arial" w:hAnsi="Arial" w:cs="Arial"/>
          <w:sz w:val="24"/>
          <w:szCs w:val="24"/>
        </w:rPr>
        <w:t xml:space="preserve">re is </w:t>
      </w:r>
      <w:r w:rsidR="00C94D5D" w:rsidRPr="00D80D50">
        <w:rPr>
          <w:rFonts w:ascii="Arial" w:hAnsi="Arial" w:cs="Arial"/>
          <w:sz w:val="24"/>
          <w:szCs w:val="24"/>
        </w:rPr>
        <w:t xml:space="preserve">also </w:t>
      </w:r>
      <w:r w:rsidR="00BA0770" w:rsidRPr="00D80D50">
        <w:rPr>
          <w:rFonts w:ascii="Arial" w:hAnsi="Arial" w:cs="Arial"/>
          <w:sz w:val="24"/>
          <w:szCs w:val="24"/>
        </w:rPr>
        <w:t xml:space="preserve">visible pressure </w:t>
      </w:r>
      <w:r w:rsidR="004D4EB0" w:rsidRPr="00D80D50">
        <w:rPr>
          <w:rFonts w:ascii="Arial" w:hAnsi="Arial" w:cs="Arial"/>
          <w:sz w:val="24"/>
          <w:szCs w:val="24"/>
        </w:rPr>
        <w:t xml:space="preserve">around Carrickmore, Loughmacrory and Drumnakilly. Remote hill areas such as the </w:t>
      </w:r>
      <w:proofErr w:type="spellStart"/>
      <w:r w:rsidR="004D4EB0" w:rsidRPr="00D80D50">
        <w:rPr>
          <w:rFonts w:ascii="Arial" w:hAnsi="Arial" w:cs="Arial"/>
          <w:sz w:val="24"/>
          <w:szCs w:val="24"/>
        </w:rPr>
        <w:t>Sperrins</w:t>
      </w:r>
      <w:proofErr w:type="spellEnd"/>
      <w:r w:rsidR="004D4EB0" w:rsidRPr="00D80D50">
        <w:rPr>
          <w:rFonts w:ascii="Arial" w:hAnsi="Arial" w:cs="Arial"/>
          <w:sz w:val="24"/>
          <w:szCs w:val="24"/>
        </w:rPr>
        <w:t>, the fringes of Omagh district to the east, south of Fintona and particularly the North West around Drumquin, show lower leve</w:t>
      </w:r>
      <w:r w:rsidR="00EA5294" w:rsidRPr="00D80D50">
        <w:rPr>
          <w:rFonts w:ascii="Arial" w:hAnsi="Arial" w:cs="Arial"/>
          <w:sz w:val="24"/>
          <w:szCs w:val="24"/>
        </w:rPr>
        <w:t>ls of distribution.</w:t>
      </w:r>
    </w:p>
    <w:p w:rsidR="0051332A" w:rsidRPr="00D80D50" w:rsidRDefault="0051332A" w:rsidP="00384661">
      <w:pPr>
        <w:pStyle w:val="EndnoteText"/>
        <w:autoSpaceDE w:val="0"/>
        <w:autoSpaceDN w:val="0"/>
        <w:adjustRightInd w:val="0"/>
        <w:ind w:left="709"/>
        <w:rPr>
          <w:rFonts w:ascii="Arial" w:hAnsi="Arial" w:cs="Arial"/>
          <w:sz w:val="24"/>
          <w:szCs w:val="24"/>
        </w:rPr>
      </w:pPr>
    </w:p>
    <w:p w:rsidR="00EA5294" w:rsidRPr="00D80D50" w:rsidRDefault="00EA5294" w:rsidP="00384661">
      <w:pPr>
        <w:pStyle w:val="EndnoteText"/>
        <w:numPr>
          <w:ilvl w:val="1"/>
          <w:numId w:val="2"/>
        </w:numPr>
        <w:autoSpaceDE w:val="0"/>
        <w:autoSpaceDN w:val="0"/>
        <w:adjustRightInd w:val="0"/>
        <w:ind w:left="709" w:hanging="709"/>
        <w:rPr>
          <w:rFonts w:ascii="Arial" w:hAnsi="Arial" w:cs="Arial"/>
          <w:sz w:val="24"/>
          <w:szCs w:val="24"/>
        </w:rPr>
      </w:pPr>
      <w:r w:rsidRPr="00D80D50">
        <w:rPr>
          <w:rFonts w:ascii="Arial" w:hAnsi="Arial" w:cs="Arial"/>
          <w:sz w:val="24"/>
          <w:szCs w:val="24"/>
        </w:rPr>
        <w:t xml:space="preserve">Other </w:t>
      </w:r>
      <w:r w:rsidR="00C049EC" w:rsidRPr="00D80D50">
        <w:rPr>
          <w:rFonts w:ascii="Arial" w:hAnsi="Arial" w:cs="Arial"/>
          <w:sz w:val="24"/>
          <w:szCs w:val="24"/>
        </w:rPr>
        <w:t xml:space="preserve">significant </w:t>
      </w:r>
      <w:r w:rsidRPr="00D80D50">
        <w:rPr>
          <w:rFonts w:ascii="Arial" w:hAnsi="Arial" w:cs="Arial"/>
          <w:sz w:val="24"/>
          <w:szCs w:val="24"/>
        </w:rPr>
        <w:t xml:space="preserve">pressure areas appear around Lisnaskea, Brookeborough, Enniskillen and Irvinestown, with the main development pressures close to the arterial routes. This area would appear to have </w:t>
      </w:r>
      <w:r w:rsidR="00C049EC" w:rsidRPr="00D80D50">
        <w:rPr>
          <w:rFonts w:ascii="Arial" w:hAnsi="Arial" w:cs="Arial"/>
          <w:sz w:val="24"/>
          <w:szCs w:val="24"/>
        </w:rPr>
        <w:t xml:space="preserve">very </w:t>
      </w:r>
      <w:r w:rsidRPr="00D80D50">
        <w:rPr>
          <w:rFonts w:ascii="Arial" w:hAnsi="Arial" w:cs="Arial"/>
          <w:sz w:val="24"/>
          <w:szCs w:val="24"/>
        </w:rPr>
        <w:t xml:space="preserve">dense frequencies of applications and may be due to the accessibility of this region to the main settlements and to </w:t>
      </w:r>
      <w:r w:rsidR="004E3B45" w:rsidRPr="00D80D50">
        <w:rPr>
          <w:rFonts w:ascii="Arial" w:hAnsi="Arial" w:cs="Arial"/>
          <w:sz w:val="24"/>
          <w:szCs w:val="24"/>
        </w:rPr>
        <w:t xml:space="preserve">suitable </w:t>
      </w:r>
      <w:r w:rsidRPr="00D80D50">
        <w:rPr>
          <w:rFonts w:ascii="Arial" w:hAnsi="Arial" w:cs="Arial"/>
          <w:sz w:val="24"/>
          <w:szCs w:val="24"/>
        </w:rPr>
        <w:t>local t</w:t>
      </w:r>
      <w:r w:rsidR="00D04E92">
        <w:rPr>
          <w:rFonts w:ascii="Arial" w:hAnsi="Arial" w:cs="Arial"/>
          <w:sz w:val="24"/>
          <w:szCs w:val="24"/>
        </w:rPr>
        <w:t>opography. The Loughs play a</w:t>
      </w:r>
      <w:r w:rsidRPr="00D80D50">
        <w:rPr>
          <w:rFonts w:ascii="Arial" w:hAnsi="Arial" w:cs="Arial"/>
          <w:sz w:val="24"/>
          <w:szCs w:val="24"/>
        </w:rPr>
        <w:t xml:space="preserve"> part in determining where development is concentrate</w:t>
      </w:r>
      <w:r w:rsidR="00867E3F" w:rsidRPr="00D80D50">
        <w:rPr>
          <w:rFonts w:ascii="Arial" w:hAnsi="Arial" w:cs="Arial"/>
          <w:sz w:val="24"/>
          <w:szCs w:val="24"/>
        </w:rPr>
        <w:t xml:space="preserve">d throughout the council area. </w:t>
      </w:r>
      <w:r w:rsidR="004E3B45" w:rsidRPr="00D80D50">
        <w:rPr>
          <w:rFonts w:ascii="Arial" w:hAnsi="Arial" w:cs="Arial"/>
          <w:sz w:val="24"/>
          <w:szCs w:val="24"/>
        </w:rPr>
        <w:t xml:space="preserve">Policy areas have resisted overdevelopment of housing near to the Loughs in the past however some of these areas are still very attractive for development and have drawn large amounts of pressure, as can be evidenced from the small pockets of decision clusters on the shores of Lower Lough Erne particularly. </w:t>
      </w:r>
      <w:r w:rsidR="00FE67DB" w:rsidRPr="00D80D50">
        <w:rPr>
          <w:rFonts w:ascii="Arial" w:hAnsi="Arial" w:cs="Arial"/>
          <w:sz w:val="24"/>
          <w:szCs w:val="24"/>
        </w:rPr>
        <w:t>By and large</w:t>
      </w:r>
      <w:r w:rsidR="002F5FBC">
        <w:rPr>
          <w:rFonts w:ascii="Arial" w:hAnsi="Arial" w:cs="Arial"/>
          <w:sz w:val="24"/>
          <w:szCs w:val="24"/>
        </w:rPr>
        <w:t>,</w:t>
      </w:r>
      <w:r w:rsidR="00FE67DB" w:rsidRPr="00D80D50">
        <w:rPr>
          <w:rFonts w:ascii="Arial" w:hAnsi="Arial" w:cs="Arial"/>
          <w:sz w:val="24"/>
          <w:szCs w:val="24"/>
        </w:rPr>
        <w:t xml:space="preserve"> development pressure appears to have been minimised by the Countryside Policy Area </w:t>
      </w:r>
      <w:r w:rsidR="00306CA6">
        <w:rPr>
          <w:rFonts w:ascii="Arial" w:hAnsi="Arial" w:cs="Arial"/>
          <w:sz w:val="24"/>
          <w:szCs w:val="24"/>
        </w:rPr>
        <w:t xml:space="preserve">(CPA) </w:t>
      </w:r>
      <w:r w:rsidR="00FE67DB" w:rsidRPr="00D80D50">
        <w:rPr>
          <w:rFonts w:ascii="Arial" w:hAnsi="Arial" w:cs="Arial"/>
          <w:sz w:val="24"/>
          <w:szCs w:val="24"/>
        </w:rPr>
        <w:t xml:space="preserve">surrounding Upper and </w:t>
      </w:r>
      <w:r w:rsidR="00FE67DB" w:rsidRPr="00D80D50">
        <w:rPr>
          <w:rFonts w:ascii="Arial" w:hAnsi="Arial" w:cs="Arial"/>
          <w:sz w:val="24"/>
          <w:szCs w:val="24"/>
        </w:rPr>
        <w:lastRenderedPageBreak/>
        <w:t xml:space="preserve">Lower Lough Erne, as defined by the Fermanagh Area Plan 2007 (FAP). </w:t>
      </w:r>
      <w:r w:rsidR="00C354AD">
        <w:rPr>
          <w:rFonts w:ascii="Arial" w:hAnsi="Arial" w:cs="Arial"/>
          <w:sz w:val="24"/>
          <w:szCs w:val="24"/>
        </w:rPr>
        <w:t>The Islands portion of the CPA</w:t>
      </w:r>
      <w:r w:rsidR="002F5FBC">
        <w:rPr>
          <w:rFonts w:ascii="Arial" w:hAnsi="Arial" w:cs="Arial"/>
          <w:sz w:val="24"/>
          <w:szCs w:val="24"/>
        </w:rPr>
        <w:t xml:space="preserve"> is now defined as</w:t>
      </w:r>
      <w:r w:rsidR="002307CD">
        <w:rPr>
          <w:rFonts w:ascii="Arial" w:hAnsi="Arial" w:cs="Arial"/>
          <w:sz w:val="24"/>
          <w:szCs w:val="24"/>
        </w:rPr>
        <w:t xml:space="preserve"> a</w:t>
      </w:r>
      <w:r w:rsidR="002F5FBC">
        <w:rPr>
          <w:rFonts w:ascii="Arial" w:hAnsi="Arial" w:cs="Arial"/>
          <w:sz w:val="24"/>
          <w:szCs w:val="24"/>
        </w:rPr>
        <w:t xml:space="preserve"> Special Countryside Area</w:t>
      </w:r>
      <w:r w:rsidR="002307CD">
        <w:rPr>
          <w:rFonts w:ascii="Arial" w:hAnsi="Arial" w:cs="Arial"/>
          <w:sz w:val="24"/>
          <w:szCs w:val="24"/>
        </w:rPr>
        <w:t xml:space="preserve"> (SCA)</w:t>
      </w:r>
      <w:r w:rsidR="0028528A">
        <w:rPr>
          <w:rFonts w:ascii="Arial" w:hAnsi="Arial" w:cs="Arial"/>
          <w:sz w:val="24"/>
          <w:szCs w:val="24"/>
        </w:rPr>
        <w:t>.</w:t>
      </w:r>
      <w:r w:rsidR="002F5FBC">
        <w:rPr>
          <w:rFonts w:ascii="Arial" w:hAnsi="Arial" w:cs="Arial"/>
          <w:sz w:val="24"/>
          <w:szCs w:val="24"/>
        </w:rPr>
        <w:t xml:space="preserve"> </w:t>
      </w:r>
    </w:p>
    <w:p w:rsidR="00FE67DB" w:rsidRPr="00D80D50" w:rsidRDefault="00FE67DB" w:rsidP="00384661">
      <w:pPr>
        <w:pStyle w:val="EndnoteText"/>
        <w:autoSpaceDE w:val="0"/>
        <w:autoSpaceDN w:val="0"/>
        <w:adjustRightInd w:val="0"/>
        <w:rPr>
          <w:rFonts w:ascii="Arial" w:hAnsi="Arial" w:cs="Arial"/>
          <w:sz w:val="24"/>
          <w:szCs w:val="24"/>
        </w:rPr>
      </w:pPr>
    </w:p>
    <w:p w:rsidR="00992DC1" w:rsidRDefault="00EA5294" w:rsidP="00384661">
      <w:pPr>
        <w:pStyle w:val="EndnoteText"/>
        <w:numPr>
          <w:ilvl w:val="1"/>
          <w:numId w:val="2"/>
        </w:numPr>
        <w:autoSpaceDE w:val="0"/>
        <w:autoSpaceDN w:val="0"/>
        <w:adjustRightInd w:val="0"/>
        <w:ind w:left="709" w:hanging="709"/>
        <w:rPr>
          <w:rFonts w:ascii="Arial" w:hAnsi="Arial" w:cs="Arial"/>
          <w:sz w:val="24"/>
          <w:szCs w:val="24"/>
        </w:rPr>
      </w:pPr>
      <w:r w:rsidRPr="00237971">
        <w:rPr>
          <w:rFonts w:ascii="Arial" w:hAnsi="Arial" w:cs="Arial"/>
          <w:sz w:val="24"/>
          <w:szCs w:val="24"/>
        </w:rPr>
        <w:t>Conversely, large open areas of countryside exist with very little development pressure, and these often correlate to high/inaccessible terrain and/or environmentally sensitive areas (See Map</w:t>
      </w:r>
      <w:r w:rsidR="0023131E" w:rsidRPr="00237971">
        <w:rPr>
          <w:rFonts w:ascii="Arial" w:hAnsi="Arial" w:cs="Arial"/>
          <w:sz w:val="24"/>
          <w:szCs w:val="24"/>
        </w:rPr>
        <w:t xml:space="preserve"> No’s</w:t>
      </w:r>
      <w:r w:rsidRPr="00237971">
        <w:rPr>
          <w:rFonts w:ascii="Arial" w:hAnsi="Arial" w:cs="Arial"/>
          <w:sz w:val="24"/>
          <w:szCs w:val="24"/>
        </w:rPr>
        <w:t xml:space="preserve"> 3 &amp; 4).  </w:t>
      </w:r>
      <w:r w:rsidR="002F5FBC" w:rsidRPr="00237971">
        <w:rPr>
          <w:rFonts w:ascii="Arial" w:hAnsi="Arial" w:cs="Arial"/>
          <w:sz w:val="24"/>
          <w:szCs w:val="24"/>
        </w:rPr>
        <w:t>Whilst</w:t>
      </w:r>
      <w:r w:rsidR="00C049EC" w:rsidRPr="00237971">
        <w:rPr>
          <w:rFonts w:ascii="Arial" w:hAnsi="Arial" w:cs="Arial"/>
          <w:sz w:val="24"/>
          <w:szCs w:val="24"/>
        </w:rPr>
        <w:t xml:space="preserve"> it i</w:t>
      </w:r>
      <w:r w:rsidR="007F1338" w:rsidRPr="00237971">
        <w:rPr>
          <w:rFonts w:ascii="Arial" w:hAnsi="Arial" w:cs="Arial"/>
          <w:sz w:val="24"/>
          <w:szCs w:val="24"/>
        </w:rPr>
        <w:t>s evident that topographical constraints</w:t>
      </w:r>
      <w:r w:rsidR="00C049EC" w:rsidRPr="00237971">
        <w:rPr>
          <w:rFonts w:ascii="Arial" w:hAnsi="Arial" w:cs="Arial"/>
          <w:sz w:val="24"/>
          <w:szCs w:val="24"/>
        </w:rPr>
        <w:t xml:space="preserve"> and environmental designations (such as AONB for instance) have had their part to play in the distribution of single rural dwelling applications, there are still pockets of relativ</w:t>
      </w:r>
      <w:r w:rsidR="004D1C8F" w:rsidRPr="00237971">
        <w:rPr>
          <w:rFonts w:ascii="Arial" w:hAnsi="Arial" w:cs="Arial"/>
          <w:sz w:val="24"/>
          <w:szCs w:val="24"/>
        </w:rPr>
        <w:t>ely higher development pressure</w:t>
      </w:r>
      <w:r w:rsidR="002F5FBC" w:rsidRPr="00237971">
        <w:rPr>
          <w:rFonts w:ascii="Arial" w:hAnsi="Arial" w:cs="Arial"/>
          <w:sz w:val="24"/>
          <w:szCs w:val="24"/>
        </w:rPr>
        <w:t xml:space="preserve"> within these </w:t>
      </w:r>
      <w:r w:rsidR="00CA5101" w:rsidRPr="00237971">
        <w:rPr>
          <w:rFonts w:ascii="Arial" w:hAnsi="Arial" w:cs="Arial"/>
          <w:sz w:val="24"/>
          <w:szCs w:val="24"/>
        </w:rPr>
        <w:t>areas</w:t>
      </w:r>
      <w:r w:rsidR="008B4ABE">
        <w:rPr>
          <w:rFonts w:ascii="Arial" w:hAnsi="Arial" w:cs="Arial"/>
          <w:sz w:val="24"/>
          <w:szCs w:val="24"/>
        </w:rPr>
        <w:t>. One</w:t>
      </w:r>
      <w:r w:rsidR="004D1C8F" w:rsidRPr="00237971">
        <w:rPr>
          <w:rFonts w:ascii="Arial" w:hAnsi="Arial" w:cs="Arial"/>
          <w:sz w:val="24"/>
          <w:szCs w:val="24"/>
        </w:rPr>
        <w:t xml:space="preserve"> example</w:t>
      </w:r>
      <w:r w:rsidR="00C049EC" w:rsidRPr="00237971">
        <w:rPr>
          <w:rFonts w:ascii="Arial" w:hAnsi="Arial" w:cs="Arial"/>
          <w:sz w:val="24"/>
          <w:szCs w:val="24"/>
        </w:rPr>
        <w:t xml:space="preserve"> </w:t>
      </w:r>
      <w:r w:rsidR="008B4ABE">
        <w:rPr>
          <w:rFonts w:ascii="Arial" w:hAnsi="Arial" w:cs="Arial"/>
          <w:sz w:val="24"/>
          <w:szCs w:val="24"/>
        </w:rPr>
        <w:t>of this is</w:t>
      </w:r>
      <w:r w:rsidR="004D1C8F" w:rsidRPr="00237971">
        <w:rPr>
          <w:rFonts w:ascii="Arial" w:hAnsi="Arial" w:cs="Arial"/>
          <w:sz w:val="24"/>
          <w:szCs w:val="24"/>
        </w:rPr>
        <w:t xml:space="preserve"> </w:t>
      </w:r>
      <w:r w:rsidR="00C049EC" w:rsidRPr="00237971">
        <w:rPr>
          <w:rFonts w:ascii="Arial" w:hAnsi="Arial" w:cs="Arial"/>
          <w:sz w:val="24"/>
          <w:szCs w:val="24"/>
        </w:rPr>
        <w:t xml:space="preserve">the </w:t>
      </w:r>
      <w:r w:rsidR="004D1C8F" w:rsidRPr="00237971">
        <w:rPr>
          <w:rFonts w:ascii="Arial" w:hAnsi="Arial" w:cs="Arial"/>
          <w:sz w:val="24"/>
          <w:szCs w:val="24"/>
        </w:rPr>
        <w:t xml:space="preserve">main </w:t>
      </w:r>
      <w:r w:rsidR="00C049EC" w:rsidRPr="00237971">
        <w:rPr>
          <w:rFonts w:ascii="Arial" w:hAnsi="Arial" w:cs="Arial"/>
          <w:sz w:val="24"/>
          <w:szCs w:val="24"/>
        </w:rPr>
        <w:t>road between Gortin and Greencastle</w:t>
      </w:r>
      <w:r w:rsidR="00164BED" w:rsidRPr="00237971">
        <w:rPr>
          <w:rFonts w:ascii="Arial" w:hAnsi="Arial" w:cs="Arial"/>
          <w:sz w:val="24"/>
          <w:szCs w:val="24"/>
        </w:rPr>
        <w:t xml:space="preserve"> </w:t>
      </w:r>
      <w:r w:rsidR="008B4ABE">
        <w:rPr>
          <w:rFonts w:ascii="Arial" w:hAnsi="Arial" w:cs="Arial"/>
          <w:sz w:val="24"/>
          <w:szCs w:val="24"/>
        </w:rPr>
        <w:t>–</w:t>
      </w:r>
      <w:r w:rsidR="00094C59">
        <w:rPr>
          <w:rFonts w:ascii="Arial" w:hAnsi="Arial" w:cs="Arial"/>
          <w:sz w:val="24"/>
          <w:szCs w:val="24"/>
        </w:rPr>
        <w:t xml:space="preserve"> </w:t>
      </w:r>
      <w:r w:rsidR="008B4ABE">
        <w:rPr>
          <w:rFonts w:ascii="Arial" w:hAnsi="Arial" w:cs="Arial"/>
          <w:sz w:val="24"/>
          <w:szCs w:val="24"/>
        </w:rPr>
        <w:t xml:space="preserve">the </w:t>
      </w:r>
      <w:proofErr w:type="spellStart"/>
      <w:r w:rsidR="00094C59">
        <w:rPr>
          <w:rFonts w:ascii="Arial" w:hAnsi="Arial" w:cs="Arial"/>
          <w:sz w:val="24"/>
          <w:szCs w:val="24"/>
        </w:rPr>
        <w:t>Crockanboy</w:t>
      </w:r>
      <w:proofErr w:type="spellEnd"/>
      <w:r w:rsidR="00094C59">
        <w:rPr>
          <w:rFonts w:ascii="Arial" w:hAnsi="Arial" w:cs="Arial"/>
          <w:sz w:val="24"/>
          <w:szCs w:val="24"/>
        </w:rPr>
        <w:t xml:space="preserve"> Road - </w:t>
      </w:r>
      <w:r w:rsidR="004D1C8F" w:rsidRPr="00237971">
        <w:rPr>
          <w:rFonts w:ascii="Arial" w:hAnsi="Arial" w:cs="Arial"/>
          <w:sz w:val="24"/>
          <w:szCs w:val="24"/>
        </w:rPr>
        <w:t>(</w:t>
      </w:r>
      <w:r w:rsidR="00164BED" w:rsidRPr="00237971">
        <w:rPr>
          <w:rFonts w:ascii="Arial" w:hAnsi="Arial" w:cs="Arial"/>
          <w:sz w:val="24"/>
          <w:szCs w:val="24"/>
        </w:rPr>
        <w:t xml:space="preserve">which lies </w:t>
      </w:r>
      <w:r w:rsidR="004D1C8F" w:rsidRPr="00237971">
        <w:rPr>
          <w:rFonts w:ascii="Arial" w:hAnsi="Arial" w:cs="Arial"/>
          <w:sz w:val="24"/>
          <w:szCs w:val="24"/>
        </w:rPr>
        <w:t xml:space="preserve">wholly </w:t>
      </w:r>
      <w:r w:rsidR="00164BED" w:rsidRPr="00237971">
        <w:rPr>
          <w:rFonts w:ascii="Arial" w:hAnsi="Arial" w:cs="Arial"/>
          <w:sz w:val="24"/>
          <w:szCs w:val="24"/>
        </w:rPr>
        <w:t>within the AONB</w:t>
      </w:r>
      <w:r w:rsidR="004D1C8F" w:rsidRPr="00237971">
        <w:rPr>
          <w:rFonts w:ascii="Arial" w:hAnsi="Arial" w:cs="Arial"/>
          <w:sz w:val="24"/>
          <w:szCs w:val="24"/>
        </w:rPr>
        <w:t>)</w:t>
      </w:r>
      <w:r w:rsidR="007F1338" w:rsidRPr="00237971">
        <w:rPr>
          <w:rFonts w:ascii="Arial" w:hAnsi="Arial" w:cs="Arial"/>
          <w:sz w:val="24"/>
          <w:szCs w:val="24"/>
        </w:rPr>
        <w:t xml:space="preserve"> which</w:t>
      </w:r>
      <w:r w:rsidR="00164BED" w:rsidRPr="00237971">
        <w:rPr>
          <w:rFonts w:ascii="Arial" w:hAnsi="Arial" w:cs="Arial"/>
          <w:sz w:val="24"/>
          <w:szCs w:val="24"/>
        </w:rPr>
        <w:t xml:space="preserve"> </w:t>
      </w:r>
      <w:r w:rsidR="00D305D8" w:rsidRPr="00237971">
        <w:rPr>
          <w:rFonts w:ascii="Arial" w:hAnsi="Arial" w:cs="Arial"/>
          <w:sz w:val="24"/>
          <w:szCs w:val="24"/>
        </w:rPr>
        <w:t>shows a linear pressure of development, corresponding with the most suitable</w:t>
      </w:r>
      <w:r w:rsidR="008B4ABE">
        <w:rPr>
          <w:rFonts w:ascii="Arial" w:hAnsi="Arial" w:cs="Arial"/>
          <w:sz w:val="24"/>
          <w:szCs w:val="24"/>
        </w:rPr>
        <w:t xml:space="preserve"> areas for development in this otherwise exposed, upland terrain.</w:t>
      </w:r>
    </w:p>
    <w:p w:rsidR="00237971" w:rsidRPr="00237971" w:rsidRDefault="00237971" w:rsidP="00384661">
      <w:pPr>
        <w:pStyle w:val="EndnoteText"/>
        <w:autoSpaceDE w:val="0"/>
        <w:autoSpaceDN w:val="0"/>
        <w:adjustRightInd w:val="0"/>
        <w:rPr>
          <w:rFonts w:ascii="Arial" w:hAnsi="Arial" w:cs="Arial"/>
          <w:sz w:val="24"/>
          <w:szCs w:val="24"/>
        </w:rPr>
      </w:pPr>
    </w:p>
    <w:p w:rsidR="00D305D8" w:rsidRPr="00D80D50" w:rsidRDefault="00D305D8" w:rsidP="00384661">
      <w:pPr>
        <w:pStyle w:val="EndnoteText"/>
        <w:numPr>
          <w:ilvl w:val="1"/>
          <w:numId w:val="2"/>
        </w:numPr>
        <w:autoSpaceDE w:val="0"/>
        <w:autoSpaceDN w:val="0"/>
        <w:adjustRightInd w:val="0"/>
        <w:ind w:left="709" w:hanging="709"/>
        <w:rPr>
          <w:rFonts w:ascii="Arial" w:hAnsi="Arial" w:cs="Arial"/>
          <w:sz w:val="24"/>
          <w:szCs w:val="24"/>
        </w:rPr>
      </w:pPr>
      <w:r w:rsidRPr="00D80D50">
        <w:rPr>
          <w:rFonts w:ascii="Arial" w:hAnsi="Arial" w:cs="Arial"/>
          <w:sz w:val="24"/>
          <w:szCs w:val="24"/>
        </w:rPr>
        <w:t xml:space="preserve">Map </w:t>
      </w:r>
      <w:r w:rsidR="0023131E" w:rsidRPr="00D80D50">
        <w:rPr>
          <w:rFonts w:ascii="Arial" w:hAnsi="Arial" w:cs="Arial"/>
          <w:sz w:val="24"/>
          <w:szCs w:val="24"/>
        </w:rPr>
        <w:t>No. 3</w:t>
      </w:r>
      <w:r w:rsidRPr="00D80D50">
        <w:rPr>
          <w:rFonts w:ascii="Arial" w:hAnsi="Arial" w:cs="Arial"/>
          <w:sz w:val="24"/>
          <w:szCs w:val="24"/>
        </w:rPr>
        <w:t>, would seem to indicate that by and large, development pressure is much less within areas which benefit from environmental designations, and the only exception appear</w:t>
      </w:r>
      <w:r w:rsidR="00237971">
        <w:rPr>
          <w:rFonts w:ascii="Arial" w:hAnsi="Arial" w:cs="Arial"/>
          <w:sz w:val="24"/>
          <w:szCs w:val="24"/>
        </w:rPr>
        <w:t>s to be the AONB.  I</w:t>
      </w:r>
      <w:r w:rsidRPr="00D80D50">
        <w:rPr>
          <w:rFonts w:ascii="Arial" w:hAnsi="Arial" w:cs="Arial"/>
          <w:sz w:val="24"/>
          <w:szCs w:val="24"/>
        </w:rPr>
        <w:t xml:space="preserve">t is not a coincidence that many of the protected areas are unconducive to development, </w:t>
      </w:r>
      <w:r w:rsidR="00164BED" w:rsidRPr="00D80D50">
        <w:rPr>
          <w:rFonts w:ascii="Arial" w:hAnsi="Arial" w:cs="Arial"/>
          <w:sz w:val="24"/>
          <w:szCs w:val="24"/>
        </w:rPr>
        <w:t>for reasons of to</w:t>
      </w:r>
      <w:r w:rsidRPr="00D80D50">
        <w:rPr>
          <w:rFonts w:ascii="Arial" w:hAnsi="Arial" w:cs="Arial"/>
          <w:sz w:val="24"/>
          <w:szCs w:val="24"/>
        </w:rPr>
        <w:t xml:space="preserve">pography, or </w:t>
      </w:r>
      <w:r w:rsidR="00354CDC" w:rsidRPr="00D80D50">
        <w:rPr>
          <w:rFonts w:ascii="Arial" w:hAnsi="Arial" w:cs="Arial"/>
          <w:sz w:val="24"/>
          <w:szCs w:val="24"/>
        </w:rPr>
        <w:t>l</w:t>
      </w:r>
      <w:r w:rsidRPr="00D80D50">
        <w:rPr>
          <w:rFonts w:ascii="Arial" w:hAnsi="Arial" w:cs="Arial"/>
          <w:sz w:val="24"/>
          <w:szCs w:val="24"/>
        </w:rPr>
        <w:t xml:space="preserve">and </w:t>
      </w:r>
      <w:r w:rsidR="00354CDC" w:rsidRPr="00D80D50">
        <w:rPr>
          <w:rFonts w:ascii="Arial" w:hAnsi="Arial" w:cs="Arial"/>
          <w:sz w:val="24"/>
          <w:szCs w:val="24"/>
        </w:rPr>
        <w:t>conditions</w:t>
      </w:r>
      <w:r w:rsidRPr="00D80D50">
        <w:rPr>
          <w:rFonts w:ascii="Arial" w:hAnsi="Arial" w:cs="Arial"/>
          <w:sz w:val="24"/>
          <w:szCs w:val="24"/>
        </w:rPr>
        <w:t xml:space="preserve"> (such as blanket bog) or; </w:t>
      </w:r>
      <w:r w:rsidR="00164BED" w:rsidRPr="00D80D50">
        <w:rPr>
          <w:rFonts w:ascii="Arial" w:hAnsi="Arial" w:cs="Arial"/>
          <w:sz w:val="24"/>
          <w:szCs w:val="24"/>
        </w:rPr>
        <w:t>g</w:t>
      </w:r>
      <w:r w:rsidRPr="00D80D50">
        <w:rPr>
          <w:rFonts w:ascii="Arial" w:hAnsi="Arial" w:cs="Arial"/>
          <w:sz w:val="24"/>
          <w:szCs w:val="24"/>
        </w:rPr>
        <w:t xml:space="preserve">enerally being remote in nature. </w:t>
      </w:r>
      <w:r w:rsidR="00351C06" w:rsidRPr="00D80D50">
        <w:rPr>
          <w:rFonts w:ascii="Arial" w:hAnsi="Arial" w:cs="Arial"/>
          <w:sz w:val="24"/>
          <w:szCs w:val="24"/>
        </w:rPr>
        <w:t xml:space="preserve"> </w:t>
      </w:r>
    </w:p>
    <w:p w:rsidR="001070ED" w:rsidRPr="00D80D50" w:rsidRDefault="001070ED" w:rsidP="00384661">
      <w:pPr>
        <w:pStyle w:val="EndnoteText"/>
        <w:autoSpaceDE w:val="0"/>
        <w:autoSpaceDN w:val="0"/>
        <w:adjustRightInd w:val="0"/>
        <w:rPr>
          <w:rFonts w:ascii="Arial" w:hAnsi="Arial" w:cs="Arial"/>
          <w:color w:val="000000" w:themeColor="text1"/>
          <w:sz w:val="24"/>
          <w:szCs w:val="24"/>
        </w:rPr>
      </w:pPr>
    </w:p>
    <w:p w:rsidR="007B6876" w:rsidRDefault="00B04CD2" w:rsidP="00384661">
      <w:pPr>
        <w:pStyle w:val="EndnoteText"/>
        <w:numPr>
          <w:ilvl w:val="1"/>
          <w:numId w:val="2"/>
        </w:numPr>
        <w:autoSpaceDE w:val="0"/>
        <w:autoSpaceDN w:val="0"/>
        <w:adjustRightInd w:val="0"/>
        <w:ind w:left="709" w:hanging="709"/>
        <w:rPr>
          <w:rFonts w:ascii="Arial" w:hAnsi="Arial" w:cs="Arial"/>
          <w:color w:val="000000" w:themeColor="text1"/>
          <w:sz w:val="24"/>
          <w:szCs w:val="24"/>
        </w:rPr>
      </w:pPr>
      <w:r w:rsidRPr="006E0CF0">
        <w:rPr>
          <w:rFonts w:ascii="Arial" w:hAnsi="Arial" w:cs="Arial"/>
          <w:color w:val="000000" w:themeColor="text1"/>
          <w:sz w:val="24"/>
          <w:szCs w:val="24"/>
        </w:rPr>
        <w:t xml:space="preserve">Furthermore, as can be seen from </w:t>
      </w:r>
      <w:r w:rsidR="00A21308" w:rsidRPr="008F0331">
        <w:rPr>
          <w:rFonts w:ascii="Arial" w:hAnsi="Arial" w:cs="Arial"/>
          <w:color w:val="000000" w:themeColor="text1"/>
          <w:sz w:val="24"/>
          <w:szCs w:val="24"/>
        </w:rPr>
        <w:t>Map 5</w:t>
      </w:r>
      <w:r w:rsidRPr="006E0CF0">
        <w:rPr>
          <w:rFonts w:ascii="Arial" w:hAnsi="Arial" w:cs="Arial"/>
          <w:color w:val="000000" w:themeColor="text1"/>
          <w:sz w:val="24"/>
          <w:szCs w:val="24"/>
        </w:rPr>
        <w:t>, i</w:t>
      </w:r>
      <w:r w:rsidR="004D4EB0" w:rsidRPr="006E0CF0">
        <w:rPr>
          <w:rFonts w:ascii="Arial" w:hAnsi="Arial" w:cs="Arial"/>
          <w:color w:val="000000" w:themeColor="text1"/>
          <w:sz w:val="24"/>
          <w:szCs w:val="24"/>
        </w:rPr>
        <w:t xml:space="preserve">t is recognised that some types of landscapes, for example lowland drumlin, have a greater ability to absorb development than others such as upland or mountain landscapes. In this regard, the landscape assessment as provided by the Northern Ireland Landscape Character Assessment (NILCA) series will, in conjunction with the pressure analysis, help to identify areas of landscape that are particularly vulnerable to any development and which are of high scenic value with the view to designating them as Special Countryside Areas. </w:t>
      </w:r>
      <w:r w:rsidR="00493B68" w:rsidRPr="006E0CF0">
        <w:rPr>
          <w:rFonts w:ascii="Arial" w:hAnsi="Arial" w:cs="Arial"/>
          <w:color w:val="000000" w:themeColor="text1"/>
          <w:sz w:val="24"/>
          <w:szCs w:val="24"/>
        </w:rPr>
        <w:t>A draft</w:t>
      </w:r>
      <w:r w:rsidR="00237971">
        <w:rPr>
          <w:rFonts w:ascii="Arial" w:hAnsi="Arial" w:cs="Arial"/>
          <w:color w:val="000000" w:themeColor="text1"/>
          <w:sz w:val="24"/>
          <w:szCs w:val="24"/>
        </w:rPr>
        <w:t xml:space="preserve"> Northern Ireland</w:t>
      </w:r>
      <w:r w:rsidR="00493B68" w:rsidRPr="006E0CF0">
        <w:rPr>
          <w:rFonts w:ascii="Arial" w:hAnsi="Arial" w:cs="Arial"/>
          <w:color w:val="000000" w:themeColor="text1"/>
          <w:sz w:val="24"/>
          <w:szCs w:val="24"/>
        </w:rPr>
        <w:t xml:space="preserve"> Regional Landscape Ch</w:t>
      </w:r>
      <w:r w:rsidR="00D4129A" w:rsidRPr="006E0CF0">
        <w:rPr>
          <w:rFonts w:ascii="Arial" w:hAnsi="Arial" w:cs="Arial"/>
          <w:color w:val="000000" w:themeColor="text1"/>
          <w:sz w:val="24"/>
          <w:szCs w:val="24"/>
        </w:rPr>
        <w:t xml:space="preserve">aracter Assessment </w:t>
      </w:r>
      <w:r w:rsidR="006E0CF0" w:rsidRPr="006E0CF0">
        <w:rPr>
          <w:rFonts w:ascii="Arial" w:hAnsi="Arial" w:cs="Arial"/>
          <w:color w:val="000000" w:themeColor="text1"/>
          <w:sz w:val="24"/>
          <w:szCs w:val="24"/>
        </w:rPr>
        <w:t xml:space="preserve">for Northern Ireland </w:t>
      </w:r>
      <w:r w:rsidR="00D4129A" w:rsidRPr="006E0CF0">
        <w:rPr>
          <w:rFonts w:ascii="Arial" w:hAnsi="Arial" w:cs="Arial"/>
          <w:color w:val="000000" w:themeColor="text1"/>
          <w:sz w:val="24"/>
          <w:szCs w:val="24"/>
        </w:rPr>
        <w:t xml:space="preserve">has </w:t>
      </w:r>
      <w:r w:rsidR="009A1DFB" w:rsidRPr="006E0CF0">
        <w:rPr>
          <w:rFonts w:ascii="Arial" w:hAnsi="Arial" w:cs="Arial"/>
          <w:color w:val="000000" w:themeColor="text1"/>
          <w:sz w:val="24"/>
          <w:szCs w:val="24"/>
        </w:rPr>
        <w:t xml:space="preserve">recently completed a consultation period. </w:t>
      </w:r>
    </w:p>
    <w:p w:rsidR="0084704B" w:rsidRPr="00D80D50" w:rsidRDefault="0084704B" w:rsidP="00384661">
      <w:pPr>
        <w:pStyle w:val="EndnoteText"/>
        <w:autoSpaceDE w:val="0"/>
        <w:autoSpaceDN w:val="0"/>
        <w:adjustRightInd w:val="0"/>
        <w:rPr>
          <w:rFonts w:ascii="Arial" w:hAnsi="Arial" w:cs="Arial"/>
          <w:b/>
          <w:color w:val="000000" w:themeColor="text1"/>
          <w:sz w:val="24"/>
          <w:szCs w:val="24"/>
        </w:rPr>
      </w:pPr>
    </w:p>
    <w:p w:rsidR="00E9484C" w:rsidRPr="002307CD" w:rsidRDefault="00FE67DB" w:rsidP="00384661">
      <w:pPr>
        <w:pStyle w:val="EndnoteText"/>
        <w:numPr>
          <w:ilvl w:val="0"/>
          <w:numId w:val="2"/>
        </w:numPr>
        <w:autoSpaceDE w:val="0"/>
        <w:autoSpaceDN w:val="0"/>
        <w:adjustRightInd w:val="0"/>
        <w:rPr>
          <w:rFonts w:ascii="Arial" w:hAnsi="Arial" w:cs="Arial"/>
          <w:b/>
          <w:color w:val="000000" w:themeColor="text1"/>
          <w:sz w:val="28"/>
          <w:szCs w:val="28"/>
        </w:rPr>
      </w:pPr>
      <w:r w:rsidRPr="002307CD">
        <w:rPr>
          <w:rFonts w:ascii="Arial" w:hAnsi="Arial" w:cs="Arial"/>
          <w:b/>
          <w:color w:val="000000" w:themeColor="text1"/>
          <w:sz w:val="28"/>
          <w:szCs w:val="28"/>
        </w:rPr>
        <w:t>Wind Energy Decisions</w:t>
      </w:r>
    </w:p>
    <w:p w:rsidR="00E734AB" w:rsidRPr="00D80D50" w:rsidRDefault="00E734AB" w:rsidP="00384661">
      <w:pPr>
        <w:pStyle w:val="EndnoteText"/>
        <w:autoSpaceDE w:val="0"/>
        <w:autoSpaceDN w:val="0"/>
        <w:adjustRightInd w:val="0"/>
        <w:rPr>
          <w:rFonts w:ascii="Arial" w:hAnsi="Arial" w:cs="Arial"/>
          <w:b/>
          <w:color w:val="000000" w:themeColor="text1"/>
          <w:sz w:val="24"/>
          <w:szCs w:val="24"/>
        </w:rPr>
      </w:pPr>
    </w:p>
    <w:p w:rsidR="00B35C03" w:rsidRPr="00D80D50" w:rsidRDefault="00B35C03" w:rsidP="00384661">
      <w:pPr>
        <w:pStyle w:val="EndnoteText"/>
        <w:numPr>
          <w:ilvl w:val="1"/>
          <w:numId w:val="2"/>
        </w:numPr>
        <w:autoSpaceDE w:val="0"/>
        <w:autoSpaceDN w:val="0"/>
        <w:adjustRightInd w:val="0"/>
        <w:ind w:left="709" w:hanging="709"/>
        <w:rPr>
          <w:rFonts w:ascii="Arial" w:hAnsi="Arial" w:cs="Arial"/>
          <w:color w:val="000000" w:themeColor="text1"/>
          <w:sz w:val="24"/>
          <w:szCs w:val="24"/>
        </w:rPr>
      </w:pPr>
      <w:r w:rsidRPr="00D80D50">
        <w:rPr>
          <w:rFonts w:ascii="Arial" w:hAnsi="Arial" w:cs="Arial"/>
          <w:color w:val="000000" w:themeColor="text1"/>
          <w:sz w:val="24"/>
          <w:szCs w:val="24"/>
        </w:rPr>
        <w:t>A ten year period of data in relation to single wind turbines and wind farms, similar to the period of time used for single dwelling decisions, was assessed to demonstrate the distribution of this particular type of proposal which has potential for a particular</w:t>
      </w:r>
      <w:r w:rsidR="00FF384E">
        <w:rPr>
          <w:rFonts w:ascii="Arial" w:hAnsi="Arial" w:cs="Arial"/>
          <w:color w:val="000000" w:themeColor="text1"/>
          <w:sz w:val="24"/>
          <w:szCs w:val="24"/>
        </w:rPr>
        <w:t xml:space="preserve"> </w:t>
      </w:r>
      <w:r w:rsidRPr="00D80D50">
        <w:rPr>
          <w:rFonts w:ascii="Arial" w:hAnsi="Arial" w:cs="Arial"/>
          <w:color w:val="000000" w:themeColor="text1"/>
          <w:sz w:val="24"/>
          <w:szCs w:val="24"/>
        </w:rPr>
        <w:t>visual impact</w:t>
      </w:r>
      <w:r w:rsidR="00FF384E">
        <w:rPr>
          <w:rFonts w:ascii="Arial" w:hAnsi="Arial" w:cs="Arial"/>
          <w:color w:val="000000" w:themeColor="text1"/>
          <w:sz w:val="24"/>
          <w:szCs w:val="24"/>
        </w:rPr>
        <w:t>, both individual and cumulative,</w:t>
      </w:r>
      <w:r w:rsidRPr="00D80D50">
        <w:rPr>
          <w:rFonts w:ascii="Arial" w:hAnsi="Arial" w:cs="Arial"/>
          <w:color w:val="000000" w:themeColor="text1"/>
          <w:sz w:val="24"/>
          <w:szCs w:val="24"/>
        </w:rPr>
        <w:t xml:space="preserve"> within the countryside of Fermanagh </w:t>
      </w:r>
      <w:r w:rsidR="005472B1">
        <w:rPr>
          <w:rFonts w:ascii="Arial" w:hAnsi="Arial" w:cs="Arial"/>
          <w:color w:val="000000" w:themeColor="text1"/>
          <w:sz w:val="24"/>
          <w:szCs w:val="24"/>
        </w:rPr>
        <w:t>and</w:t>
      </w:r>
      <w:r w:rsidRPr="00D80D50">
        <w:rPr>
          <w:rFonts w:ascii="Arial" w:hAnsi="Arial" w:cs="Arial"/>
          <w:color w:val="000000" w:themeColor="text1"/>
          <w:sz w:val="24"/>
          <w:szCs w:val="24"/>
        </w:rPr>
        <w:t xml:space="preserve"> Omagh </w:t>
      </w:r>
      <w:r w:rsidR="005472B1">
        <w:rPr>
          <w:rFonts w:ascii="Arial" w:hAnsi="Arial" w:cs="Arial"/>
          <w:color w:val="000000" w:themeColor="text1"/>
          <w:sz w:val="24"/>
          <w:szCs w:val="24"/>
        </w:rPr>
        <w:t xml:space="preserve">District </w:t>
      </w:r>
      <w:r w:rsidRPr="00D80D50">
        <w:rPr>
          <w:rFonts w:ascii="Arial" w:hAnsi="Arial" w:cs="Arial"/>
          <w:color w:val="000000" w:themeColor="text1"/>
          <w:sz w:val="24"/>
          <w:szCs w:val="24"/>
        </w:rPr>
        <w:t xml:space="preserve">Council. </w:t>
      </w:r>
    </w:p>
    <w:p w:rsidR="00B35C03" w:rsidRPr="00D80D50" w:rsidRDefault="00B35C03" w:rsidP="00384661">
      <w:pPr>
        <w:pStyle w:val="EndnoteText"/>
        <w:autoSpaceDE w:val="0"/>
        <w:autoSpaceDN w:val="0"/>
        <w:adjustRightInd w:val="0"/>
        <w:ind w:left="709"/>
        <w:rPr>
          <w:rFonts w:ascii="Arial" w:hAnsi="Arial" w:cs="Arial"/>
          <w:color w:val="000000" w:themeColor="text1"/>
          <w:sz w:val="24"/>
          <w:szCs w:val="24"/>
        </w:rPr>
      </w:pPr>
    </w:p>
    <w:p w:rsidR="007A0746" w:rsidRDefault="00E73AC5" w:rsidP="00384661">
      <w:pPr>
        <w:pStyle w:val="EndnoteText"/>
        <w:numPr>
          <w:ilvl w:val="1"/>
          <w:numId w:val="2"/>
        </w:numPr>
        <w:autoSpaceDE w:val="0"/>
        <w:autoSpaceDN w:val="0"/>
        <w:adjustRightInd w:val="0"/>
        <w:ind w:left="709" w:hanging="709"/>
        <w:rPr>
          <w:rFonts w:ascii="Arial" w:hAnsi="Arial" w:cs="Arial"/>
          <w:color w:val="000000" w:themeColor="text1"/>
          <w:sz w:val="24"/>
          <w:szCs w:val="24"/>
        </w:rPr>
      </w:pPr>
      <w:r w:rsidRPr="008F0331">
        <w:rPr>
          <w:rFonts w:ascii="Arial" w:hAnsi="Arial" w:cs="Arial"/>
          <w:color w:val="000000" w:themeColor="text1"/>
          <w:sz w:val="24"/>
          <w:szCs w:val="24"/>
        </w:rPr>
        <w:t xml:space="preserve">Ambitious government targets, reflected in the Programme for Government 2011-2015, require Northern Ireland to seek to achieve 40% of its electricity consumption from renewable resources and a 10% renewable heat by 2020.  Electricity generated from onshore wind farms has been identified as the most established, large-scale renewable source in Northern Ireland and the main </w:t>
      </w:r>
      <w:r w:rsidR="008F0331">
        <w:rPr>
          <w:rFonts w:ascii="Arial" w:hAnsi="Arial" w:cs="Arial"/>
          <w:color w:val="000000" w:themeColor="text1"/>
          <w:sz w:val="24"/>
          <w:szCs w:val="24"/>
        </w:rPr>
        <w:t>source to achieving this target.</w:t>
      </w:r>
    </w:p>
    <w:p w:rsidR="008F0331" w:rsidRPr="008F0331" w:rsidRDefault="008F0331" w:rsidP="00384661">
      <w:pPr>
        <w:pStyle w:val="EndnoteText"/>
        <w:autoSpaceDE w:val="0"/>
        <w:autoSpaceDN w:val="0"/>
        <w:adjustRightInd w:val="0"/>
        <w:rPr>
          <w:rFonts w:ascii="Arial" w:hAnsi="Arial" w:cs="Arial"/>
          <w:color w:val="000000" w:themeColor="text1"/>
          <w:sz w:val="24"/>
          <w:szCs w:val="24"/>
        </w:rPr>
      </w:pPr>
    </w:p>
    <w:p w:rsidR="007A0746" w:rsidRPr="00D80D50" w:rsidRDefault="007A0746" w:rsidP="00384661">
      <w:pPr>
        <w:pStyle w:val="EndnoteText"/>
        <w:numPr>
          <w:ilvl w:val="1"/>
          <w:numId w:val="2"/>
        </w:numPr>
        <w:autoSpaceDE w:val="0"/>
        <w:autoSpaceDN w:val="0"/>
        <w:adjustRightInd w:val="0"/>
        <w:ind w:left="709" w:hanging="709"/>
        <w:rPr>
          <w:rFonts w:ascii="Arial" w:hAnsi="Arial" w:cs="Arial"/>
          <w:color w:val="000000" w:themeColor="text1"/>
          <w:sz w:val="24"/>
          <w:szCs w:val="24"/>
        </w:rPr>
      </w:pPr>
      <w:r>
        <w:rPr>
          <w:rFonts w:ascii="Arial" w:hAnsi="Arial" w:cs="Arial"/>
          <w:color w:val="000000" w:themeColor="text1"/>
          <w:sz w:val="24"/>
          <w:szCs w:val="24"/>
        </w:rPr>
        <w:t>A recent consultation paper</w:t>
      </w:r>
      <w:r w:rsidR="00E063F5">
        <w:rPr>
          <w:rFonts w:ascii="Arial" w:hAnsi="Arial" w:cs="Arial"/>
          <w:color w:val="000000" w:themeColor="text1"/>
          <w:sz w:val="24"/>
          <w:szCs w:val="24"/>
        </w:rPr>
        <w:t xml:space="preserve"> was issued</w:t>
      </w:r>
      <w:r>
        <w:rPr>
          <w:rFonts w:ascii="Arial" w:hAnsi="Arial" w:cs="Arial"/>
          <w:color w:val="000000" w:themeColor="text1"/>
          <w:sz w:val="24"/>
          <w:szCs w:val="24"/>
        </w:rPr>
        <w:t xml:space="preserve"> by </w:t>
      </w:r>
      <w:r w:rsidR="002307CD">
        <w:rPr>
          <w:rFonts w:ascii="Arial" w:hAnsi="Arial" w:cs="Arial"/>
          <w:color w:val="000000" w:themeColor="text1"/>
          <w:sz w:val="24"/>
          <w:szCs w:val="24"/>
        </w:rPr>
        <w:t>the Department of Enterprise, Trade and Investment (</w:t>
      </w:r>
      <w:r>
        <w:rPr>
          <w:rFonts w:ascii="Arial" w:hAnsi="Arial" w:cs="Arial"/>
          <w:color w:val="000000" w:themeColor="text1"/>
          <w:sz w:val="24"/>
          <w:szCs w:val="24"/>
        </w:rPr>
        <w:t>DETI</w:t>
      </w:r>
      <w:r w:rsidR="002307CD">
        <w:rPr>
          <w:rFonts w:ascii="Arial" w:hAnsi="Arial" w:cs="Arial"/>
          <w:color w:val="000000" w:themeColor="text1"/>
          <w:sz w:val="24"/>
          <w:szCs w:val="24"/>
        </w:rPr>
        <w:t>)</w:t>
      </w:r>
      <w:r>
        <w:rPr>
          <w:rFonts w:ascii="Arial" w:hAnsi="Arial" w:cs="Arial"/>
          <w:color w:val="000000" w:themeColor="text1"/>
          <w:sz w:val="24"/>
          <w:szCs w:val="24"/>
        </w:rPr>
        <w:t xml:space="preserve"> on the Closure of the Northern Ireland </w:t>
      </w:r>
      <w:r>
        <w:rPr>
          <w:rFonts w:ascii="Arial" w:hAnsi="Arial" w:cs="Arial"/>
          <w:color w:val="000000" w:themeColor="text1"/>
          <w:sz w:val="24"/>
          <w:szCs w:val="24"/>
        </w:rPr>
        <w:lastRenderedPageBreak/>
        <w:t>Renewables Obligat</w:t>
      </w:r>
      <w:r w:rsidR="001B0C24">
        <w:rPr>
          <w:rFonts w:ascii="Arial" w:hAnsi="Arial" w:cs="Arial"/>
          <w:color w:val="000000" w:themeColor="text1"/>
          <w:sz w:val="24"/>
          <w:szCs w:val="24"/>
        </w:rPr>
        <w:t>ion to new onshore wind in 2016.  The impact of the closure of the Renewable Obligation Certification payments is likely to have a negative impact on the Renewable Energy sector in Northern Ireland and will bring about an overall reduction in the number of planning applications for Wind Energy Development.</w:t>
      </w:r>
    </w:p>
    <w:p w:rsidR="00303277" w:rsidRDefault="00303277" w:rsidP="0075663F">
      <w:pPr>
        <w:pStyle w:val="EndnoteText"/>
        <w:autoSpaceDE w:val="0"/>
        <w:autoSpaceDN w:val="0"/>
        <w:adjustRightInd w:val="0"/>
        <w:jc w:val="both"/>
        <w:rPr>
          <w:rFonts w:ascii="Arial" w:hAnsi="Arial" w:cs="Arial"/>
          <w:color w:val="000000" w:themeColor="text1"/>
        </w:rPr>
      </w:pPr>
    </w:p>
    <w:p w:rsidR="00606ED7" w:rsidRPr="002307CD" w:rsidRDefault="00045E9D" w:rsidP="0075663F">
      <w:pPr>
        <w:pStyle w:val="EndnoteText"/>
        <w:autoSpaceDE w:val="0"/>
        <w:autoSpaceDN w:val="0"/>
        <w:adjustRightInd w:val="0"/>
        <w:ind w:left="709"/>
        <w:jc w:val="both"/>
        <w:rPr>
          <w:rFonts w:ascii="Arial" w:hAnsi="Arial" w:cs="Arial"/>
          <w:b/>
          <w:color w:val="000000" w:themeColor="text1"/>
          <w:sz w:val="22"/>
          <w:szCs w:val="22"/>
        </w:rPr>
      </w:pPr>
      <w:r w:rsidRPr="002307CD">
        <w:rPr>
          <w:rFonts w:ascii="Arial" w:hAnsi="Arial" w:cs="Arial"/>
          <w:b/>
          <w:sz w:val="22"/>
          <w:szCs w:val="22"/>
        </w:rPr>
        <w:t>Table 2</w:t>
      </w:r>
      <w:r w:rsidR="008A3242" w:rsidRPr="002307CD">
        <w:rPr>
          <w:rFonts w:ascii="Arial" w:hAnsi="Arial" w:cs="Arial"/>
          <w:b/>
          <w:sz w:val="22"/>
          <w:szCs w:val="22"/>
        </w:rPr>
        <w:t xml:space="preserve">: </w:t>
      </w:r>
      <w:r w:rsidR="00FF384E" w:rsidRPr="002307CD">
        <w:rPr>
          <w:rFonts w:ascii="Arial" w:hAnsi="Arial" w:cs="Arial"/>
          <w:b/>
          <w:color w:val="000000" w:themeColor="text1"/>
          <w:sz w:val="22"/>
          <w:szCs w:val="22"/>
        </w:rPr>
        <w:t xml:space="preserve">Applications </w:t>
      </w:r>
      <w:r w:rsidR="00E13E25" w:rsidRPr="002307CD">
        <w:rPr>
          <w:rFonts w:ascii="Arial" w:hAnsi="Arial" w:cs="Arial"/>
          <w:b/>
          <w:color w:val="000000" w:themeColor="text1"/>
          <w:sz w:val="22"/>
          <w:szCs w:val="22"/>
        </w:rPr>
        <w:t xml:space="preserve">received </w:t>
      </w:r>
      <w:r w:rsidR="00FF384E" w:rsidRPr="002307CD">
        <w:rPr>
          <w:rFonts w:ascii="Arial" w:hAnsi="Arial" w:cs="Arial"/>
          <w:b/>
          <w:color w:val="000000" w:themeColor="text1"/>
          <w:sz w:val="22"/>
          <w:szCs w:val="22"/>
        </w:rPr>
        <w:t xml:space="preserve">for single wind turbines and wind farms broken down by legacy council area and financial </w:t>
      </w:r>
      <w:r w:rsidR="00BC52DC" w:rsidRPr="002307CD">
        <w:rPr>
          <w:rFonts w:ascii="Arial" w:hAnsi="Arial" w:cs="Arial"/>
          <w:b/>
          <w:color w:val="000000" w:themeColor="text1"/>
          <w:sz w:val="22"/>
          <w:szCs w:val="22"/>
        </w:rPr>
        <w:t>years 2004/0</w:t>
      </w:r>
      <w:r w:rsidR="00FF384E" w:rsidRPr="002307CD">
        <w:rPr>
          <w:rFonts w:ascii="Arial" w:hAnsi="Arial" w:cs="Arial"/>
          <w:b/>
          <w:color w:val="000000" w:themeColor="text1"/>
          <w:sz w:val="22"/>
          <w:szCs w:val="22"/>
        </w:rPr>
        <w:t>5 to 2014/15.</w:t>
      </w:r>
    </w:p>
    <w:p w:rsidR="008A3242" w:rsidRPr="00FF384E" w:rsidRDefault="008A3242" w:rsidP="00303277">
      <w:pPr>
        <w:pStyle w:val="EndnoteText"/>
        <w:autoSpaceDE w:val="0"/>
        <w:autoSpaceDN w:val="0"/>
        <w:adjustRightInd w:val="0"/>
        <w:ind w:left="709"/>
        <w:jc w:val="both"/>
        <w:rPr>
          <w:rFonts w:ascii="Arial" w:hAnsi="Arial" w:cs="Arial"/>
          <w:color w:val="000000" w:themeColor="text1"/>
          <w:sz w:val="18"/>
          <w:szCs w:val="18"/>
        </w:rPr>
      </w:pPr>
    </w:p>
    <w:tbl>
      <w:tblPr>
        <w:tblStyle w:val="TableGrid"/>
        <w:tblW w:w="8080" w:type="dxa"/>
        <w:tblInd w:w="846" w:type="dxa"/>
        <w:tblLook w:val="04A0" w:firstRow="1" w:lastRow="0" w:firstColumn="1" w:lastColumn="0" w:noHBand="0" w:noVBand="1"/>
      </w:tblPr>
      <w:tblGrid>
        <w:gridCol w:w="1701"/>
        <w:gridCol w:w="1276"/>
        <w:gridCol w:w="1275"/>
        <w:gridCol w:w="1276"/>
        <w:gridCol w:w="1276"/>
        <w:gridCol w:w="1276"/>
      </w:tblGrid>
      <w:tr w:rsidR="00303277" w:rsidTr="00B330C1">
        <w:tc>
          <w:tcPr>
            <w:tcW w:w="1701" w:type="dxa"/>
            <w:shd w:val="clear" w:color="auto" w:fill="D9D9D9" w:themeFill="background1" w:themeFillShade="D9"/>
          </w:tcPr>
          <w:p w:rsidR="00303277" w:rsidRPr="00045E9D" w:rsidRDefault="008A3242" w:rsidP="00606ED7">
            <w:pPr>
              <w:pStyle w:val="EndnoteText"/>
              <w:autoSpaceDE w:val="0"/>
              <w:autoSpaceDN w:val="0"/>
              <w:adjustRightInd w:val="0"/>
              <w:jc w:val="both"/>
              <w:rPr>
                <w:rFonts w:ascii="Arial" w:hAnsi="Arial" w:cs="Arial"/>
                <w:b/>
                <w:color w:val="000000" w:themeColor="text1"/>
                <w:sz w:val="22"/>
                <w:szCs w:val="22"/>
              </w:rPr>
            </w:pPr>
            <w:r w:rsidRPr="00045E9D">
              <w:rPr>
                <w:rFonts w:ascii="Arial" w:hAnsi="Arial" w:cs="Arial"/>
                <w:b/>
                <w:color w:val="000000" w:themeColor="text1"/>
                <w:sz w:val="22"/>
                <w:szCs w:val="22"/>
              </w:rPr>
              <w:t>Financial Year</w:t>
            </w:r>
          </w:p>
        </w:tc>
        <w:tc>
          <w:tcPr>
            <w:tcW w:w="2551" w:type="dxa"/>
            <w:gridSpan w:val="2"/>
            <w:shd w:val="clear" w:color="auto" w:fill="D9D9D9" w:themeFill="background1" w:themeFillShade="D9"/>
          </w:tcPr>
          <w:p w:rsidR="00303277" w:rsidRPr="008A3242" w:rsidRDefault="00303277" w:rsidP="00606ED7">
            <w:pPr>
              <w:pStyle w:val="EndnoteText"/>
              <w:autoSpaceDE w:val="0"/>
              <w:autoSpaceDN w:val="0"/>
              <w:adjustRightInd w:val="0"/>
              <w:jc w:val="center"/>
              <w:rPr>
                <w:rFonts w:ascii="Arial" w:hAnsi="Arial" w:cs="Arial"/>
                <w:b/>
                <w:color w:val="000000" w:themeColor="text1"/>
                <w:sz w:val="22"/>
                <w:szCs w:val="22"/>
              </w:rPr>
            </w:pPr>
            <w:r w:rsidRPr="008A3242">
              <w:rPr>
                <w:rFonts w:ascii="Arial" w:hAnsi="Arial" w:cs="Arial"/>
                <w:b/>
                <w:color w:val="000000" w:themeColor="text1"/>
                <w:sz w:val="22"/>
                <w:szCs w:val="22"/>
              </w:rPr>
              <w:t xml:space="preserve">Single Wind Turbines </w:t>
            </w:r>
          </w:p>
        </w:tc>
        <w:tc>
          <w:tcPr>
            <w:tcW w:w="2552" w:type="dxa"/>
            <w:gridSpan w:val="2"/>
            <w:shd w:val="clear" w:color="auto" w:fill="D9D9D9" w:themeFill="background1" w:themeFillShade="D9"/>
          </w:tcPr>
          <w:p w:rsidR="00303277" w:rsidRPr="008A3242" w:rsidRDefault="00303277" w:rsidP="00606ED7">
            <w:pPr>
              <w:pStyle w:val="EndnoteText"/>
              <w:autoSpaceDE w:val="0"/>
              <w:autoSpaceDN w:val="0"/>
              <w:adjustRightInd w:val="0"/>
              <w:jc w:val="center"/>
              <w:rPr>
                <w:rFonts w:ascii="Arial" w:hAnsi="Arial" w:cs="Arial"/>
                <w:b/>
                <w:color w:val="000000" w:themeColor="text1"/>
                <w:sz w:val="22"/>
                <w:szCs w:val="22"/>
              </w:rPr>
            </w:pPr>
            <w:r w:rsidRPr="008A3242">
              <w:rPr>
                <w:rFonts w:ascii="Arial" w:hAnsi="Arial" w:cs="Arial"/>
                <w:b/>
                <w:color w:val="000000" w:themeColor="text1"/>
                <w:sz w:val="22"/>
                <w:szCs w:val="22"/>
              </w:rPr>
              <w:t>Wind Farm</w:t>
            </w:r>
          </w:p>
        </w:tc>
        <w:tc>
          <w:tcPr>
            <w:tcW w:w="1276" w:type="dxa"/>
            <w:shd w:val="clear" w:color="auto" w:fill="D9D9D9" w:themeFill="background1" w:themeFillShade="D9"/>
          </w:tcPr>
          <w:p w:rsidR="00303277" w:rsidRPr="008A3242" w:rsidRDefault="00303277" w:rsidP="00606ED7">
            <w:pPr>
              <w:pStyle w:val="EndnoteText"/>
              <w:autoSpaceDE w:val="0"/>
              <w:autoSpaceDN w:val="0"/>
              <w:adjustRightInd w:val="0"/>
              <w:jc w:val="center"/>
              <w:rPr>
                <w:rFonts w:ascii="Arial" w:hAnsi="Arial" w:cs="Arial"/>
                <w:b/>
                <w:color w:val="000000" w:themeColor="text1"/>
                <w:sz w:val="22"/>
                <w:szCs w:val="22"/>
              </w:rPr>
            </w:pPr>
            <w:r w:rsidRPr="008A3242">
              <w:rPr>
                <w:rFonts w:ascii="Arial" w:hAnsi="Arial" w:cs="Arial"/>
                <w:b/>
                <w:color w:val="000000" w:themeColor="text1"/>
                <w:sz w:val="22"/>
                <w:szCs w:val="22"/>
              </w:rPr>
              <w:t>Total</w:t>
            </w:r>
          </w:p>
        </w:tc>
      </w:tr>
      <w:tr w:rsidR="00303277" w:rsidTr="00853F5B">
        <w:tc>
          <w:tcPr>
            <w:tcW w:w="1701" w:type="dxa"/>
            <w:shd w:val="clear" w:color="auto" w:fill="F2F2F2" w:themeFill="background1" w:themeFillShade="F2"/>
          </w:tcPr>
          <w:p w:rsidR="00303277" w:rsidRPr="00303277" w:rsidRDefault="00303277" w:rsidP="00606ED7">
            <w:pPr>
              <w:pStyle w:val="EndnoteText"/>
              <w:autoSpaceDE w:val="0"/>
              <w:autoSpaceDN w:val="0"/>
              <w:adjustRightInd w:val="0"/>
              <w:jc w:val="center"/>
              <w:rPr>
                <w:rFonts w:ascii="Arial" w:hAnsi="Arial" w:cs="Arial"/>
                <w:color w:val="000000" w:themeColor="text1"/>
                <w:sz w:val="18"/>
                <w:szCs w:val="18"/>
              </w:rPr>
            </w:pPr>
          </w:p>
        </w:tc>
        <w:tc>
          <w:tcPr>
            <w:tcW w:w="1276" w:type="dxa"/>
            <w:shd w:val="clear" w:color="auto" w:fill="F2F2F2" w:themeFill="background1" w:themeFillShade="F2"/>
          </w:tcPr>
          <w:p w:rsidR="00303277" w:rsidRPr="00045E9D" w:rsidRDefault="00303277" w:rsidP="00606ED7">
            <w:pPr>
              <w:pStyle w:val="EndnoteText"/>
              <w:autoSpaceDE w:val="0"/>
              <w:autoSpaceDN w:val="0"/>
              <w:adjustRightInd w:val="0"/>
              <w:jc w:val="center"/>
              <w:rPr>
                <w:rFonts w:ascii="Arial" w:hAnsi="Arial" w:cs="Arial"/>
                <w:i/>
                <w:color w:val="000000" w:themeColor="text1"/>
                <w:sz w:val="18"/>
                <w:szCs w:val="18"/>
              </w:rPr>
            </w:pPr>
            <w:r w:rsidRPr="00045E9D">
              <w:rPr>
                <w:rFonts w:ascii="Arial" w:hAnsi="Arial" w:cs="Arial"/>
                <w:i/>
                <w:color w:val="000000" w:themeColor="text1"/>
                <w:sz w:val="18"/>
                <w:szCs w:val="18"/>
              </w:rPr>
              <w:t>Fermanagh</w:t>
            </w:r>
          </w:p>
        </w:tc>
        <w:tc>
          <w:tcPr>
            <w:tcW w:w="1275" w:type="dxa"/>
            <w:shd w:val="clear" w:color="auto" w:fill="F2F2F2" w:themeFill="background1" w:themeFillShade="F2"/>
          </w:tcPr>
          <w:p w:rsidR="00303277" w:rsidRPr="00045E9D" w:rsidRDefault="00303277" w:rsidP="00606ED7">
            <w:pPr>
              <w:pStyle w:val="EndnoteText"/>
              <w:autoSpaceDE w:val="0"/>
              <w:autoSpaceDN w:val="0"/>
              <w:adjustRightInd w:val="0"/>
              <w:jc w:val="center"/>
              <w:rPr>
                <w:rFonts w:ascii="Arial" w:hAnsi="Arial" w:cs="Arial"/>
                <w:i/>
                <w:color w:val="000000" w:themeColor="text1"/>
                <w:sz w:val="18"/>
                <w:szCs w:val="18"/>
              </w:rPr>
            </w:pPr>
            <w:r w:rsidRPr="00045E9D">
              <w:rPr>
                <w:rFonts w:ascii="Arial" w:hAnsi="Arial" w:cs="Arial"/>
                <w:i/>
                <w:color w:val="000000" w:themeColor="text1"/>
                <w:sz w:val="18"/>
                <w:szCs w:val="18"/>
              </w:rPr>
              <w:t>Omagh</w:t>
            </w:r>
          </w:p>
        </w:tc>
        <w:tc>
          <w:tcPr>
            <w:tcW w:w="1276" w:type="dxa"/>
            <w:shd w:val="clear" w:color="auto" w:fill="F2F2F2" w:themeFill="background1" w:themeFillShade="F2"/>
          </w:tcPr>
          <w:p w:rsidR="00303277" w:rsidRPr="00045E9D" w:rsidRDefault="00303277" w:rsidP="00606ED7">
            <w:pPr>
              <w:pStyle w:val="EndnoteText"/>
              <w:autoSpaceDE w:val="0"/>
              <w:autoSpaceDN w:val="0"/>
              <w:adjustRightInd w:val="0"/>
              <w:jc w:val="center"/>
              <w:rPr>
                <w:rFonts w:ascii="Arial" w:hAnsi="Arial" w:cs="Arial"/>
                <w:i/>
                <w:color w:val="000000" w:themeColor="text1"/>
                <w:sz w:val="18"/>
                <w:szCs w:val="18"/>
              </w:rPr>
            </w:pPr>
            <w:r w:rsidRPr="00045E9D">
              <w:rPr>
                <w:rFonts w:ascii="Arial" w:hAnsi="Arial" w:cs="Arial"/>
                <w:i/>
                <w:color w:val="000000" w:themeColor="text1"/>
                <w:sz w:val="18"/>
                <w:szCs w:val="18"/>
              </w:rPr>
              <w:t>Fermanagh</w:t>
            </w:r>
          </w:p>
        </w:tc>
        <w:tc>
          <w:tcPr>
            <w:tcW w:w="1276" w:type="dxa"/>
            <w:shd w:val="clear" w:color="auto" w:fill="F2F2F2" w:themeFill="background1" w:themeFillShade="F2"/>
          </w:tcPr>
          <w:p w:rsidR="00303277" w:rsidRPr="00045E9D" w:rsidRDefault="00303277" w:rsidP="00606ED7">
            <w:pPr>
              <w:pStyle w:val="EndnoteText"/>
              <w:autoSpaceDE w:val="0"/>
              <w:autoSpaceDN w:val="0"/>
              <w:adjustRightInd w:val="0"/>
              <w:jc w:val="center"/>
              <w:rPr>
                <w:rFonts w:ascii="Arial" w:hAnsi="Arial" w:cs="Arial"/>
                <w:i/>
                <w:color w:val="000000" w:themeColor="text1"/>
                <w:sz w:val="18"/>
                <w:szCs w:val="18"/>
              </w:rPr>
            </w:pPr>
            <w:r w:rsidRPr="00045E9D">
              <w:rPr>
                <w:rFonts w:ascii="Arial" w:hAnsi="Arial" w:cs="Arial"/>
                <w:i/>
                <w:color w:val="000000" w:themeColor="text1"/>
                <w:sz w:val="18"/>
                <w:szCs w:val="18"/>
              </w:rPr>
              <w:t>Omagh</w:t>
            </w:r>
          </w:p>
        </w:tc>
        <w:tc>
          <w:tcPr>
            <w:tcW w:w="1276" w:type="dxa"/>
            <w:shd w:val="clear" w:color="auto" w:fill="F2F2F2" w:themeFill="background1" w:themeFillShade="F2"/>
          </w:tcPr>
          <w:p w:rsidR="00303277" w:rsidRPr="00303277" w:rsidRDefault="00303277" w:rsidP="00606ED7">
            <w:pPr>
              <w:pStyle w:val="EndnoteText"/>
              <w:autoSpaceDE w:val="0"/>
              <w:autoSpaceDN w:val="0"/>
              <w:adjustRightInd w:val="0"/>
              <w:jc w:val="center"/>
              <w:rPr>
                <w:rFonts w:ascii="Arial" w:hAnsi="Arial" w:cs="Arial"/>
                <w:color w:val="000000" w:themeColor="text1"/>
                <w:sz w:val="18"/>
                <w:szCs w:val="18"/>
              </w:rPr>
            </w:pPr>
          </w:p>
        </w:tc>
      </w:tr>
      <w:tr w:rsidR="00303277" w:rsidTr="00B330C1">
        <w:tc>
          <w:tcPr>
            <w:tcW w:w="1701"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2004/05</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4</w:t>
            </w:r>
          </w:p>
        </w:tc>
        <w:tc>
          <w:tcPr>
            <w:tcW w:w="1275"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6</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1</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4</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15</w:t>
            </w:r>
          </w:p>
        </w:tc>
      </w:tr>
      <w:tr w:rsidR="00303277" w:rsidTr="00B330C1">
        <w:tc>
          <w:tcPr>
            <w:tcW w:w="1701"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2005/06</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4</w:t>
            </w:r>
          </w:p>
        </w:tc>
        <w:tc>
          <w:tcPr>
            <w:tcW w:w="1275"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10</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6</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22</w:t>
            </w:r>
          </w:p>
        </w:tc>
      </w:tr>
      <w:tr w:rsidR="00303277" w:rsidTr="00B330C1">
        <w:tc>
          <w:tcPr>
            <w:tcW w:w="1701"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2006/07</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5</w:t>
            </w:r>
          </w:p>
        </w:tc>
        <w:tc>
          <w:tcPr>
            <w:tcW w:w="1275"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13</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1</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5</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24</w:t>
            </w:r>
          </w:p>
        </w:tc>
      </w:tr>
      <w:tr w:rsidR="00303277" w:rsidTr="00B330C1">
        <w:tc>
          <w:tcPr>
            <w:tcW w:w="1701"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2007/08</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4</w:t>
            </w:r>
          </w:p>
        </w:tc>
        <w:tc>
          <w:tcPr>
            <w:tcW w:w="1275"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5</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1</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12</w:t>
            </w:r>
          </w:p>
        </w:tc>
      </w:tr>
      <w:tr w:rsidR="00303277" w:rsidTr="00B330C1">
        <w:tc>
          <w:tcPr>
            <w:tcW w:w="1701"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2008/09</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10</w:t>
            </w:r>
          </w:p>
        </w:tc>
        <w:tc>
          <w:tcPr>
            <w:tcW w:w="1275"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10</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24</w:t>
            </w:r>
          </w:p>
        </w:tc>
      </w:tr>
      <w:tr w:rsidR="00303277" w:rsidTr="00B330C1">
        <w:tc>
          <w:tcPr>
            <w:tcW w:w="1701"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2009/10</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5</w:t>
            </w:r>
          </w:p>
        </w:tc>
        <w:tc>
          <w:tcPr>
            <w:tcW w:w="1275"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9</w:t>
            </w:r>
          </w:p>
        </w:tc>
        <w:tc>
          <w:tcPr>
            <w:tcW w:w="1276" w:type="dxa"/>
          </w:tcPr>
          <w:p w:rsidR="00303277" w:rsidRPr="00F0656B" w:rsidRDefault="00687EB9"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0</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1</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15</w:t>
            </w:r>
          </w:p>
        </w:tc>
      </w:tr>
      <w:tr w:rsidR="00303277" w:rsidTr="00B330C1">
        <w:tc>
          <w:tcPr>
            <w:tcW w:w="1701"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2010/11</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22</w:t>
            </w:r>
          </w:p>
        </w:tc>
        <w:tc>
          <w:tcPr>
            <w:tcW w:w="1275"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51</w:t>
            </w:r>
          </w:p>
        </w:tc>
        <w:tc>
          <w:tcPr>
            <w:tcW w:w="1276" w:type="dxa"/>
          </w:tcPr>
          <w:p w:rsidR="00303277" w:rsidRPr="00F0656B" w:rsidRDefault="00687EB9"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0</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1</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74</w:t>
            </w:r>
          </w:p>
        </w:tc>
      </w:tr>
      <w:tr w:rsidR="00303277" w:rsidTr="00B330C1">
        <w:tc>
          <w:tcPr>
            <w:tcW w:w="1701"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2011/12</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67</w:t>
            </w:r>
          </w:p>
        </w:tc>
        <w:tc>
          <w:tcPr>
            <w:tcW w:w="1275"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71</w:t>
            </w:r>
          </w:p>
        </w:tc>
        <w:tc>
          <w:tcPr>
            <w:tcW w:w="1276" w:type="dxa"/>
          </w:tcPr>
          <w:p w:rsidR="00303277" w:rsidRPr="00F0656B" w:rsidRDefault="00687EB9"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0</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1</w:t>
            </w:r>
          </w:p>
        </w:tc>
        <w:tc>
          <w:tcPr>
            <w:tcW w:w="1276" w:type="dxa"/>
          </w:tcPr>
          <w:p w:rsidR="00303277" w:rsidRPr="00F0656B" w:rsidRDefault="00162B05"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139</w:t>
            </w:r>
          </w:p>
        </w:tc>
      </w:tr>
      <w:tr w:rsidR="00303277" w:rsidTr="00B330C1">
        <w:tc>
          <w:tcPr>
            <w:tcW w:w="1701"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2012/13</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77</w:t>
            </w:r>
          </w:p>
        </w:tc>
        <w:tc>
          <w:tcPr>
            <w:tcW w:w="1275"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84</w:t>
            </w:r>
          </w:p>
        </w:tc>
        <w:tc>
          <w:tcPr>
            <w:tcW w:w="1276" w:type="dxa"/>
          </w:tcPr>
          <w:p w:rsidR="00303277" w:rsidRPr="00F0656B" w:rsidRDefault="00687EB9"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0</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w:t>
            </w:r>
          </w:p>
        </w:tc>
        <w:tc>
          <w:tcPr>
            <w:tcW w:w="1276" w:type="dxa"/>
          </w:tcPr>
          <w:p w:rsidR="00303277" w:rsidRPr="00F0656B" w:rsidRDefault="00F56BD1"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163</w:t>
            </w:r>
          </w:p>
        </w:tc>
      </w:tr>
      <w:tr w:rsidR="00303277" w:rsidTr="00B330C1">
        <w:tc>
          <w:tcPr>
            <w:tcW w:w="1701"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2013/14</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45</w:t>
            </w:r>
          </w:p>
        </w:tc>
        <w:tc>
          <w:tcPr>
            <w:tcW w:w="1275"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50</w:t>
            </w:r>
          </w:p>
        </w:tc>
        <w:tc>
          <w:tcPr>
            <w:tcW w:w="1276" w:type="dxa"/>
          </w:tcPr>
          <w:p w:rsidR="00303277" w:rsidRPr="00F0656B" w:rsidRDefault="00687EB9"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0</w:t>
            </w:r>
          </w:p>
        </w:tc>
        <w:tc>
          <w:tcPr>
            <w:tcW w:w="1276" w:type="dxa"/>
          </w:tcPr>
          <w:p w:rsidR="00303277" w:rsidRPr="00F0656B" w:rsidRDefault="00687EB9"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0</w:t>
            </w:r>
          </w:p>
        </w:tc>
        <w:tc>
          <w:tcPr>
            <w:tcW w:w="1276" w:type="dxa"/>
          </w:tcPr>
          <w:p w:rsidR="00303277" w:rsidRPr="00F0656B" w:rsidRDefault="00F56BD1"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95</w:t>
            </w:r>
          </w:p>
        </w:tc>
      </w:tr>
      <w:tr w:rsidR="00303277" w:rsidTr="00B330C1">
        <w:tc>
          <w:tcPr>
            <w:tcW w:w="1701"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2014/15</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11</w:t>
            </w:r>
          </w:p>
        </w:tc>
        <w:tc>
          <w:tcPr>
            <w:tcW w:w="1275"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5</w:t>
            </w:r>
          </w:p>
        </w:tc>
        <w:tc>
          <w:tcPr>
            <w:tcW w:w="1276" w:type="dxa"/>
          </w:tcPr>
          <w:p w:rsidR="00303277" w:rsidRPr="00F0656B" w:rsidRDefault="00687EB9"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0</w:t>
            </w:r>
          </w:p>
        </w:tc>
        <w:tc>
          <w:tcPr>
            <w:tcW w:w="1276" w:type="dxa"/>
          </w:tcPr>
          <w:p w:rsidR="00303277" w:rsidRPr="00F0656B" w:rsidRDefault="00303277"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2</w:t>
            </w:r>
          </w:p>
        </w:tc>
        <w:tc>
          <w:tcPr>
            <w:tcW w:w="1276" w:type="dxa"/>
          </w:tcPr>
          <w:p w:rsidR="00303277" w:rsidRPr="00F0656B" w:rsidRDefault="00162B05" w:rsidP="00606ED7">
            <w:pPr>
              <w:pStyle w:val="EndnoteText"/>
              <w:autoSpaceDE w:val="0"/>
              <w:autoSpaceDN w:val="0"/>
              <w:adjustRightInd w:val="0"/>
              <w:jc w:val="center"/>
              <w:rPr>
                <w:rFonts w:ascii="Arial" w:hAnsi="Arial" w:cs="Arial"/>
                <w:color w:val="000000" w:themeColor="text1"/>
                <w:sz w:val="22"/>
                <w:szCs w:val="22"/>
              </w:rPr>
            </w:pPr>
            <w:r w:rsidRPr="00F0656B">
              <w:rPr>
                <w:rFonts w:ascii="Arial" w:hAnsi="Arial" w:cs="Arial"/>
                <w:color w:val="000000" w:themeColor="text1"/>
                <w:sz w:val="22"/>
                <w:szCs w:val="22"/>
              </w:rPr>
              <w:t>18</w:t>
            </w:r>
          </w:p>
        </w:tc>
      </w:tr>
      <w:tr w:rsidR="00303277" w:rsidTr="00B330C1">
        <w:tc>
          <w:tcPr>
            <w:tcW w:w="1701" w:type="dxa"/>
            <w:shd w:val="clear" w:color="auto" w:fill="D0CECE" w:themeFill="background2" w:themeFillShade="E6"/>
          </w:tcPr>
          <w:p w:rsidR="00303277" w:rsidRPr="008A3242" w:rsidRDefault="00303277" w:rsidP="00606ED7">
            <w:pPr>
              <w:pStyle w:val="EndnoteText"/>
              <w:autoSpaceDE w:val="0"/>
              <w:autoSpaceDN w:val="0"/>
              <w:adjustRightInd w:val="0"/>
              <w:jc w:val="center"/>
              <w:rPr>
                <w:rFonts w:ascii="Arial" w:hAnsi="Arial" w:cs="Arial"/>
                <w:b/>
                <w:color w:val="000000" w:themeColor="text1"/>
              </w:rPr>
            </w:pPr>
            <w:r w:rsidRPr="008A3242">
              <w:rPr>
                <w:rFonts w:ascii="Arial" w:hAnsi="Arial" w:cs="Arial"/>
                <w:b/>
                <w:color w:val="000000" w:themeColor="text1"/>
              </w:rPr>
              <w:t>Total</w:t>
            </w:r>
          </w:p>
        </w:tc>
        <w:tc>
          <w:tcPr>
            <w:tcW w:w="1276" w:type="dxa"/>
            <w:shd w:val="clear" w:color="auto" w:fill="D0CECE" w:themeFill="background2" w:themeFillShade="E6"/>
          </w:tcPr>
          <w:p w:rsidR="00303277" w:rsidRPr="008A3242" w:rsidRDefault="00303277" w:rsidP="00606ED7">
            <w:pPr>
              <w:pStyle w:val="EndnoteText"/>
              <w:autoSpaceDE w:val="0"/>
              <w:autoSpaceDN w:val="0"/>
              <w:adjustRightInd w:val="0"/>
              <w:jc w:val="center"/>
              <w:rPr>
                <w:rFonts w:ascii="Arial" w:hAnsi="Arial" w:cs="Arial"/>
                <w:b/>
                <w:color w:val="000000" w:themeColor="text1"/>
              </w:rPr>
            </w:pPr>
            <w:r w:rsidRPr="008A3242">
              <w:rPr>
                <w:rFonts w:ascii="Arial" w:hAnsi="Arial" w:cs="Arial"/>
                <w:b/>
                <w:color w:val="000000" w:themeColor="text1"/>
              </w:rPr>
              <w:t>254</w:t>
            </w:r>
          </w:p>
        </w:tc>
        <w:tc>
          <w:tcPr>
            <w:tcW w:w="1275" w:type="dxa"/>
            <w:shd w:val="clear" w:color="auto" w:fill="D0CECE" w:themeFill="background2" w:themeFillShade="E6"/>
          </w:tcPr>
          <w:p w:rsidR="00303277" w:rsidRPr="008A3242" w:rsidRDefault="00303277" w:rsidP="00606ED7">
            <w:pPr>
              <w:pStyle w:val="EndnoteText"/>
              <w:autoSpaceDE w:val="0"/>
              <w:autoSpaceDN w:val="0"/>
              <w:adjustRightInd w:val="0"/>
              <w:jc w:val="center"/>
              <w:rPr>
                <w:rFonts w:ascii="Arial" w:hAnsi="Arial" w:cs="Arial"/>
                <w:b/>
                <w:color w:val="000000" w:themeColor="text1"/>
              </w:rPr>
            </w:pPr>
            <w:r w:rsidRPr="008A3242">
              <w:rPr>
                <w:rFonts w:ascii="Arial" w:hAnsi="Arial" w:cs="Arial"/>
                <w:b/>
                <w:color w:val="000000" w:themeColor="text1"/>
              </w:rPr>
              <w:t>314</w:t>
            </w:r>
          </w:p>
        </w:tc>
        <w:tc>
          <w:tcPr>
            <w:tcW w:w="1276" w:type="dxa"/>
            <w:shd w:val="clear" w:color="auto" w:fill="D0CECE" w:themeFill="background2" w:themeFillShade="E6"/>
          </w:tcPr>
          <w:p w:rsidR="00303277" w:rsidRPr="008A3242" w:rsidRDefault="00303277" w:rsidP="00606ED7">
            <w:pPr>
              <w:pStyle w:val="EndnoteText"/>
              <w:autoSpaceDE w:val="0"/>
              <w:autoSpaceDN w:val="0"/>
              <w:adjustRightInd w:val="0"/>
              <w:jc w:val="center"/>
              <w:rPr>
                <w:rFonts w:ascii="Arial" w:hAnsi="Arial" w:cs="Arial"/>
                <w:b/>
                <w:color w:val="000000" w:themeColor="text1"/>
              </w:rPr>
            </w:pPr>
            <w:r w:rsidRPr="008A3242">
              <w:rPr>
                <w:rFonts w:ascii="Arial" w:hAnsi="Arial" w:cs="Arial"/>
                <w:b/>
                <w:color w:val="000000" w:themeColor="text1"/>
              </w:rPr>
              <w:t>8</w:t>
            </w:r>
          </w:p>
        </w:tc>
        <w:tc>
          <w:tcPr>
            <w:tcW w:w="1276" w:type="dxa"/>
            <w:shd w:val="clear" w:color="auto" w:fill="D0CECE" w:themeFill="background2" w:themeFillShade="E6"/>
          </w:tcPr>
          <w:p w:rsidR="00303277" w:rsidRPr="008A3242" w:rsidRDefault="00303277" w:rsidP="00606ED7">
            <w:pPr>
              <w:pStyle w:val="EndnoteText"/>
              <w:autoSpaceDE w:val="0"/>
              <w:autoSpaceDN w:val="0"/>
              <w:adjustRightInd w:val="0"/>
              <w:jc w:val="center"/>
              <w:rPr>
                <w:rFonts w:ascii="Arial" w:hAnsi="Arial" w:cs="Arial"/>
                <w:b/>
                <w:color w:val="000000" w:themeColor="text1"/>
              </w:rPr>
            </w:pPr>
            <w:r w:rsidRPr="008A3242">
              <w:rPr>
                <w:rFonts w:ascii="Arial" w:hAnsi="Arial" w:cs="Arial"/>
                <w:b/>
                <w:color w:val="000000" w:themeColor="text1"/>
              </w:rPr>
              <w:t>25</w:t>
            </w:r>
          </w:p>
        </w:tc>
        <w:tc>
          <w:tcPr>
            <w:tcW w:w="1276" w:type="dxa"/>
            <w:shd w:val="clear" w:color="auto" w:fill="D0CECE" w:themeFill="background2" w:themeFillShade="E6"/>
          </w:tcPr>
          <w:p w:rsidR="00303277" w:rsidRPr="008A3242" w:rsidRDefault="00162B05" w:rsidP="00606ED7">
            <w:pPr>
              <w:pStyle w:val="EndnoteText"/>
              <w:autoSpaceDE w:val="0"/>
              <w:autoSpaceDN w:val="0"/>
              <w:adjustRightInd w:val="0"/>
              <w:jc w:val="center"/>
              <w:rPr>
                <w:rFonts w:ascii="Arial" w:hAnsi="Arial" w:cs="Arial"/>
                <w:b/>
                <w:color w:val="000000" w:themeColor="text1"/>
              </w:rPr>
            </w:pPr>
            <w:r w:rsidRPr="008A3242">
              <w:rPr>
                <w:rFonts w:ascii="Arial" w:hAnsi="Arial" w:cs="Arial"/>
                <w:b/>
                <w:color w:val="000000" w:themeColor="text1"/>
              </w:rPr>
              <w:t>601</w:t>
            </w:r>
          </w:p>
        </w:tc>
      </w:tr>
    </w:tbl>
    <w:p w:rsidR="00606ED7" w:rsidRDefault="0063162B" w:rsidP="00606ED7">
      <w:pPr>
        <w:pStyle w:val="EndnoteText"/>
        <w:autoSpaceDE w:val="0"/>
        <w:autoSpaceDN w:val="0"/>
        <w:adjustRightInd w:val="0"/>
        <w:jc w:val="both"/>
        <w:rPr>
          <w:rFonts w:ascii="Arial" w:hAnsi="Arial" w:cs="Arial"/>
          <w:color w:val="000000" w:themeColor="text1"/>
        </w:rPr>
      </w:pPr>
      <w:r>
        <w:rPr>
          <w:rFonts w:ascii="Arial" w:hAnsi="Arial" w:cs="Arial"/>
          <w:color w:val="000000" w:themeColor="text1"/>
          <w:sz w:val="24"/>
          <w:szCs w:val="24"/>
        </w:rPr>
        <w:tab/>
      </w:r>
      <w:r w:rsidR="008A3242">
        <w:rPr>
          <w:rFonts w:ascii="Arial" w:hAnsi="Arial" w:cs="Arial"/>
          <w:color w:val="000000" w:themeColor="text1"/>
          <w:sz w:val="24"/>
          <w:szCs w:val="24"/>
        </w:rPr>
        <w:t xml:space="preserve">  </w:t>
      </w:r>
      <w:r w:rsidR="00045E9D">
        <w:rPr>
          <w:rFonts w:ascii="Arial" w:hAnsi="Arial" w:cs="Arial"/>
          <w:color w:val="000000" w:themeColor="text1"/>
        </w:rPr>
        <w:t>Source: Do</w:t>
      </w:r>
      <w:r w:rsidRPr="0063162B">
        <w:rPr>
          <w:rFonts w:ascii="Arial" w:hAnsi="Arial" w:cs="Arial"/>
          <w:color w:val="000000" w:themeColor="text1"/>
        </w:rPr>
        <w:t>E</w:t>
      </w:r>
      <w:r w:rsidR="00045E9D">
        <w:rPr>
          <w:rFonts w:ascii="Arial" w:hAnsi="Arial" w:cs="Arial"/>
          <w:color w:val="000000" w:themeColor="text1"/>
        </w:rPr>
        <w:t xml:space="preserve"> Planning </w:t>
      </w:r>
      <w:r w:rsidRPr="0063162B">
        <w:rPr>
          <w:rFonts w:ascii="Arial" w:hAnsi="Arial" w:cs="Arial"/>
          <w:color w:val="000000" w:themeColor="text1"/>
        </w:rPr>
        <w:t>2015</w:t>
      </w:r>
      <w:r w:rsidR="00DD7BD7">
        <w:rPr>
          <w:rFonts w:ascii="Arial" w:hAnsi="Arial" w:cs="Arial"/>
          <w:color w:val="000000" w:themeColor="text1"/>
        </w:rPr>
        <w:t>. *Proposals for wind farms are for more than 2 wind turbines.</w:t>
      </w:r>
    </w:p>
    <w:p w:rsidR="0075663F" w:rsidRPr="0063162B" w:rsidRDefault="0075663F" w:rsidP="00606ED7">
      <w:pPr>
        <w:pStyle w:val="EndnoteText"/>
        <w:autoSpaceDE w:val="0"/>
        <w:autoSpaceDN w:val="0"/>
        <w:adjustRightInd w:val="0"/>
        <w:jc w:val="both"/>
        <w:rPr>
          <w:rFonts w:ascii="Arial" w:hAnsi="Arial" w:cs="Arial"/>
          <w:color w:val="000000" w:themeColor="text1"/>
        </w:rPr>
      </w:pPr>
    </w:p>
    <w:p w:rsidR="0075663F" w:rsidRDefault="0075663F" w:rsidP="0075663F">
      <w:pPr>
        <w:pStyle w:val="EndnoteText"/>
        <w:autoSpaceDE w:val="0"/>
        <w:autoSpaceDN w:val="0"/>
        <w:adjustRightInd w:val="0"/>
        <w:ind w:left="709" w:hanging="709"/>
        <w:rPr>
          <w:rFonts w:ascii="Arial" w:hAnsi="Arial" w:cs="Arial"/>
          <w:color w:val="000000" w:themeColor="text1"/>
          <w:sz w:val="24"/>
          <w:szCs w:val="24"/>
        </w:rPr>
      </w:pPr>
      <w:r>
        <w:rPr>
          <w:rFonts w:ascii="Arial" w:hAnsi="Arial" w:cs="Arial"/>
          <w:color w:val="000000" w:themeColor="text1"/>
          <w:sz w:val="24"/>
          <w:szCs w:val="24"/>
        </w:rPr>
        <w:t>5.4</w:t>
      </w:r>
      <w:r>
        <w:rPr>
          <w:rFonts w:ascii="Arial" w:hAnsi="Arial" w:cs="Arial"/>
          <w:color w:val="000000" w:themeColor="text1"/>
          <w:sz w:val="24"/>
          <w:szCs w:val="24"/>
        </w:rPr>
        <w:tab/>
      </w:r>
      <w:r w:rsidRPr="00D80D50">
        <w:rPr>
          <w:rFonts w:ascii="Arial" w:hAnsi="Arial" w:cs="Arial"/>
          <w:color w:val="000000" w:themeColor="text1"/>
          <w:sz w:val="24"/>
          <w:szCs w:val="24"/>
        </w:rPr>
        <w:t xml:space="preserve">Statistics are available online from DoE Analytical Services Branch, detailing the locations and type of wind energy approved across Northern Ireland each year in quarterly release format. </w:t>
      </w:r>
      <w:r>
        <w:rPr>
          <w:rFonts w:ascii="Arial" w:hAnsi="Arial" w:cs="Arial"/>
          <w:color w:val="000000" w:themeColor="text1"/>
          <w:sz w:val="24"/>
          <w:szCs w:val="24"/>
        </w:rPr>
        <w:t>Consideration of the figures for applications received in Table 2 below against the overall number of single wind turbine and wind farms approved across the district (Table 3) demonstrates both the large increase in the number of applications received as well as the promotive nature of PPS18 in terms of the number of applications being approved. The distribution of approved applications are detailed in Map 4</w:t>
      </w:r>
      <w:r w:rsidRPr="00D80D50">
        <w:rPr>
          <w:rFonts w:ascii="Arial" w:hAnsi="Arial" w:cs="Arial"/>
          <w:color w:val="000000" w:themeColor="text1"/>
          <w:sz w:val="24"/>
          <w:szCs w:val="24"/>
        </w:rPr>
        <w:t xml:space="preserve">. </w:t>
      </w:r>
    </w:p>
    <w:p w:rsidR="0075663F" w:rsidRDefault="0075663F" w:rsidP="0075663F">
      <w:pPr>
        <w:pStyle w:val="EndnoteText"/>
        <w:autoSpaceDE w:val="0"/>
        <w:autoSpaceDN w:val="0"/>
        <w:adjustRightInd w:val="0"/>
        <w:ind w:left="709" w:hanging="709"/>
        <w:rPr>
          <w:rFonts w:ascii="Arial" w:hAnsi="Arial" w:cs="Arial"/>
          <w:color w:val="000000" w:themeColor="text1"/>
          <w:sz w:val="24"/>
          <w:szCs w:val="24"/>
        </w:rPr>
      </w:pPr>
    </w:p>
    <w:p w:rsidR="0010213F" w:rsidRPr="002307CD" w:rsidRDefault="001B0891" w:rsidP="0010213F">
      <w:pPr>
        <w:ind w:left="709"/>
        <w:rPr>
          <w:rFonts w:ascii="Arial" w:hAnsi="Arial" w:cs="Arial"/>
          <w:b/>
        </w:rPr>
      </w:pPr>
      <w:r w:rsidRPr="002307CD">
        <w:rPr>
          <w:rFonts w:ascii="Arial" w:hAnsi="Arial" w:cs="Arial"/>
          <w:b/>
        </w:rPr>
        <w:t>Table 3</w:t>
      </w:r>
      <w:r w:rsidR="0010213F" w:rsidRPr="002307CD">
        <w:rPr>
          <w:rFonts w:ascii="Arial" w:hAnsi="Arial" w:cs="Arial"/>
          <w:b/>
        </w:rPr>
        <w:t>: All Planning Decisions issued for single turbines and wind farms (combined) in Council Area (2004-2015)</w:t>
      </w:r>
    </w:p>
    <w:tbl>
      <w:tblPr>
        <w:tblStyle w:val="TableGrid"/>
        <w:tblW w:w="0" w:type="auto"/>
        <w:jc w:val="center"/>
        <w:tblLook w:val="04A0" w:firstRow="1" w:lastRow="0" w:firstColumn="1" w:lastColumn="0" w:noHBand="0" w:noVBand="1"/>
      </w:tblPr>
      <w:tblGrid>
        <w:gridCol w:w="1897"/>
        <w:gridCol w:w="1500"/>
        <w:gridCol w:w="1418"/>
        <w:gridCol w:w="1417"/>
        <w:gridCol w:w="1417"/>
      </w:tblGrid>
      <w:tr w:rsidR="00E32E95" w:rsidRPr="00D80D50" w:rsidTr="002D1076">
        <w:trPr>
          <w:trHeight w:val="456"/>
          <w:jc w:val="center"/>
        </w:trPr>
        <w:tc>
          <w:tcPr>
            <w:tcW w:w="1897" w:type="dxa"/>
            <w:shd w:val="clear" w:color="auto" w:fill="D9D9D9" w:themeFill="background1" w:themeFillShade="D9"/>
          </w:tcPr>
          <w:p w:rsidR="00E32E95" w:rsidRPr="0051332A" w:rsidRDefault="00E32E95" w:rsidP="00F866E8">
            <w:pPr>
              <w:pStyle w:val="ListParagraph"/>
              <w:ind w:left="0"/>
              <w:rPr>
                <w:rFonts w:ascii="Arial" w:hAnsi="Arial" w:cs="Arial"/>
                <w:b/>
              </w:rPr>
            </w:pPr>
            <w:r w:rsidRPr="0051332A">
              <w:rPr>
                <w:rFonts w:ascii="Arial" w:hAnsi="Arial" w:cs="Arial"/>
                <w:b/>
              </w:rPr>
              <w:t>Financial Year</w:t>
            </w:r>
          </w:p>
          <w:p w:rsidR="00E32E95" w:rsidRPr="0051332A" w:rsidRDefault="00E32E95" w:rsidP="00F866E8">
            <w:pPr>
              <w:pStyle w:val="ListParagraph"/>
              <w:ind w:left="0"/>
              <w:rPr>
                <w:rFonts w:ascii="Arial" w:hAnsi="Arial" w:cs="Arial"/>
                <w:b/>
              </w:rPr>
            </w:pPr>
          </w:p>
        </w:tc>
        <w:tc>
          <w:tcPr>
            <w:tcW w:w="1500" w:type="dxa"/>
            <w:shd w:val="clear" w:color="auto" w:fill="D9D9D9" w:themeFill="background1" w:themeFillShade="D9"/>
          </w:tcPr>
          <w:p w:rsidR="00E32E95" w:rsidRPr="0051332A" w:rsidRDefault="00E32E95" w:rsidP="00F866E8">
            <w:pPr>
              <w:pStyle w:val="ListParagraph"/>
              <w:ind w:left="0"/>
              <w:jc w:val="center"/>
              <w:rPr>
                <w:rFonts w:ascii="Arial" w:hAnsi="Arial" w:cs="Arial"/>
                <w:b/>
              </w:rPr>
            </w:pPr>
            <w:r w:rsidRPr="0051332A">
              <w:rPr>
                <w:rFonts w:ascii="Arial" w:hAnsi="Arial" w:cs="Arial"/>
                <w:b/>
              </w:rPr>
              <w:t>Approvals</w:t>
            </w:r>
          </w:p>
        </w:tc>
        <w:tc>
          <w:tcPr>
            <w:tcW w:w="1418" w:type="dxa"/>
            <w:shd w:val="clear" w:color="auto" w:fill="D9D9D9" w:themeFill="background1" w:themeFillShade="D9"/>
          </w:tcPr>
          <w:p w:rsidR="00E32E95" w:rsidRPr="0051332A" w:rsidRDefault="00E32E95" w:rsidP="00F866E8">
            <w:pPr>
              <w:pStyle w:val="ListParagraph"/>
              <w:ind w:left="0"/>
              <w:jc w:val="center"/>
              <w:rPr>
                <w:rFonts w:ascii="Arial" w:hAnsi="Arial" w:cs="Arial"/>
                <w:b/>
              </w:rPr>
            </w:pPr>
            <w:r w:rsidRPr="0051332A">
              <w:rPr>
                <w:rFonts w:ascii="Arial" w:hAnsi="Arial" w:cs="Arial"/>
                <w:b/>
              </w:rPr>
              <w:t>Refusals</w:t>
            </w:r>
          </w:p>
        </w:tc>
        <w:tc>
          <w:tcPr>
            <w:tcW w:w="1417" w:type="dxa"/>
            <w:shd w:val="clear" w:color="auto" w:fill="D9D9D9" w:themeFill="background1" w:themeFillShade="D9"/>
          </w:tcPr>
          <w:p w:rsidR="00E32E95" w:rsidRPr="0051332A" w:rsidRDefault="00E32E95" w:rsidP="00F866E8">
            <w:pPr>
              <w:pStyle w:val="ListParagraph"/>
              <w:ind w:left="0"/>
              <w:jc w:val="center"/>
              <w:rPr>
                <w:rFonts w:ascii="Arial" w:hAnsi="Arial" w:cs="Arial"/>
                <w:b/>
              </w:rPr>
            </w:pPr>
            <w:r w:rsidRPr="0051332A">
              <w:rPr>
                <w:rFonts w:ascii="Arial" w:hAnsi="Arial" w:cs="Arial"/>
                <w:b/>
              </w:rPr>
              <w:t>Total</w:t>
            </w:r>
          </w:p>
        </w:tc>
        <w:tc>
          <w:tcPr>
            <w:tcW w:w="1417" w:type="dxa"/>
            <w:shd w:val="clear" w:color="auto" w:fill="D9D9D9" w:themeFill="background1" w:themeFillShade="D9"/>
          </w:tcPr>
          <w:p w:rsidR="00E32E95" w:rsidRPr="0051332A" w:rsidRDefault="00E32E95" w:rsidP="00F866E8">
            <w:pPr>
              <w:pStyle w:val="ListParagraph"/>
              <w:ind w:left="0"/>
              <w:jc w:val="center"/>
              <w:rPr>
                <w:rFonts w:ascii="Arial" w:hAnsi="Arial" w:cs="Arial"/>
                <w:b/>
              </w:rPr>
            </w:pPr>
            <w:r>
              <w:rPr>
                <w:rFonts w:ascii="Arial" w:hAnsi="Arial" w:cs="Arial"/>
                <w:b/>
              </w:rPr>
              <w:t>Allowed on Appeal</w:t>
            </w:r>
          </w:p>
        </w:tc>
      </w:tr>
      <w:tr w:rsidR="00E32E95" w:rsidRPr="00D80D50" w:rsidTr="002D1076">
        <w:trPr>
          <w:trHeight w:val="228"/>
          <w:jc w:val="center"/>
        </w:trPr>
        <w:tc>
          <w:tcPr>
            <w:tcW w:w="1897" w:type="dxa"/>
          </w:tcPr>
          <w:p w:rsidR="00E32E95" w:rsidRPr="0051332A" w:rsidRDefault="00E32E95" w:rsidP="00F0656B">
            <w:pPr>
              <w:pStyle w:val="ListParagraph"/>
              <w:ind w:left="0"/>
              <w:jc w:val="center"/>
              <w:rPr>
                <w:rFonts w:ascii="Arial" w:hAnsi="Arial" w:cs="Arial"/>
              </w:rPr>
            </w:pPr>
            <w:r w:rsidRPr="0051332A">
              <w:rPr>
                <w:rFonts w:ascii="Arial" w:hAnsi="Arial" w:cs="Arial"/>
              </w:rPr>
              <w:t>2004/05</w:t>
            </w:r>
          </w:p>
        </w:tc>
        <w:tc>
          <w:tcPr>
            <w:tcW w:w="1500" w:type="dxa"/>
          </w:tcPr>
          <w:p w:rsidR="00E32E95" w:rsidRPr="0051332A" w:rsidRDefault="00E32E95" w:rsidP="00F866E8">
            <w:pPr>
              <w:pStyle w:val="ListParagraph"/>
              <w:ind w:left="0"/>
              <w:jc w:val="center"/>
              <w:rPr>
                <w:rFonts w:ascii="Arial" w:hAnsi="Arial" w:cs="Arial"/>
              </w:rPr>
            </w:pPr>
            <w:r w:rsidRPr="0051332A">
              <w:rPr>
                <w:rFonts w:ascii="Arial" w:hAnsi="Arial" w:cs="Arial"/>
              </w:rPr>
              <w:t>6</w:t>
            </w:r>
          </w:p>
        </w:tc>
        <w:tc>
          <w:tcPr>
            <w:tcW w:w="1418" w:type="dxa"/>
          </w:tcPr>
          <w:p w:rsidR="00E32E95" w:rsidRPr="0051332A" w:rsidRDefault="00E32E95" w:rsidP="00F866E8">
            <w:pPr>
              <w:pStyle w:val="ListParagraph"/>
              <w:ind w:left="0"/>
              <w:jc w:val="center"/>
              <w:rPr>
                <w:rFonts w:ascii="Arial" w:hAnsi="Arial" w:cs="Arial"/>
              </w:rPr>
            </w:pPr>
            <w:r w:rsidRPr="0051332A">
              <w:rPr>
                <w:rFonts w:ascii="Arial" w:hAnsi="Arial" w:cs="Arial"/>
              </w:rPr>
              <w:t>0</w:t>
            </w:r>
          </w:p>
        </w:tc>
        <w:tc>
          <w:tcPr>
            <w:tcW w:w="1417" w:type="dxa"/>
          </w:tcPr>
          <w:p w:rsidR="00E32E95" w:rsidRPr="0051332A" w:rsidRDefault="00E32E95" w:rsidP="00F866E8">
            <w:pPr>
              <w:pStyle w:val="ListParagraph"/>
              <w:ind w:left="0"/>
              <w:jc w:val="center"/>
              <w:rPr>
                <w:rFonts w:ascii="Arial" w:hAnsi="Arial" w:cs="Arial"/>
              </w:rPr>
            </w:pPr>
            <w:r w:rsidRPr="0051332A">
              <w:rPr>
                <w:rFonts w:ascii="Arial" w:hAnsi="Arial" w:cs="Arial"/>
              </w:rPr>
              <w:t>6</w:t>
            </w:r>
          </w:p>
        </w:tc>
        <w:tc>
          <w:tcPr>
            <w:tcW w:w="1417" w:type="dxa"/>
          </w:tcPr>
          <w:p w:rsidR="00E32E95" w:rsidRPr="0051332A" w:rsidRDefault="00E32E95" w:rsidP="00F866E8">
            <w:pPr>
              <w:pStyle w:val="ListParagraph"/>
              <w:ind w:left="0"/>
              <w:jc w:val="center"/>
              <w:rPr>
                <w:rFonts w:ascii="Arial" w:hAnsi="Arial" w:cs="Arial"/>
              </w:rPr>
            </w:pPr>
          </w:p>
        </w:tc>
      </w:tr>
      <w:tr w:rsidR="00E32E95" w:rsidRPr="00D80D50" w:rsidTr="002D1076">
        <w:trPr>
          <w:trHeight w:val="228"/>
          <w:jc w:val="center"/>
        </w:trPr>
        <w:tc>
          <w:tcPr>
            <w:tcW w:w="1897" w:type="dxa"/>
          </w:tcPr>
          <w:p w:rsidR="00E32E95" w:rsidRPr="0051332A" w:rsidRDefault="00E32E95" w:rsidP="00F0656B">
            <w:pPr>
              <w:pStyle w:val="ListParagraph"/>
              <w:ind w:left="0"/>
              <w:jc w:val="center"/>
              <w:rPr>
                <w:rFonts w:ascii="Arial" w:hAnsi="Arial" w:cs="Arial"/>
              </w:rPr>
            </w:pPr>
            <w:r w:rsidRPr="0051332A">
              <w:rPr>
                <w:rFonts w:ascii="Arial" w:hAnsi="Arial" w:cs="Arial"/>
              </w:rPr>
              <w:t>2005/06</w:t>
            </w:r>
          </w:p>
        </w:tc>
        <w:tc>
          <w:tcPr>
            <w:tcW w:w="1500" w:type="dxa"/>
          </w:tcPr>
          <w:p w:rsidR="00E32E95" w:rsidRPr="0051332A" w:rsidRDefault="00E32E95" w:rsidP="00F866E8">
            <w:pPr>
              <w:pStyle w:val="ListParagraph"/>
              <w:ind w:left="0"/>
              <w:jc w:val="center"/>
              <w:rPr>
                <w:rFonts w:ascii="Arial" w:hAnsi="Arial" w:cs="Arial"/>
              </w:rPr>
            </w:pPr>
            <w:r w:rsidRPr="0051332A">
              <w:rPr>
                <w:rFonts w:ascii="Arial" w:hAnsi="Arial" w:cs="Arial"/>
              </w:rPr>
              <w:t>15</w:t>
            </w:r>
          </w:p>
        </w:tc>
        <w:tc>
          <w:tcPr>
            <w:tcW w:w="1418" w:type="dxa"/>
          </w:tcPr>
          <w:p w:rsidR="00E32E95" w:rsidRPr="0051332A" w:rsidRDefault="00E32E95" w:rsidP="00F866E8">
            <w:pPr>
              <w:pStyle w:val="ListParagraph"/>
              <w:ind w:left="0"/>
              <w:jc w:val="center"/>
              <w:rPr>
                <w:rFonts w:ascii="Arial" w:hAnsi="Arial" w:cs="Arial"/>
              </w:rPr>
            </w:pPr>
            <w:r w:rsidRPr="0051332A">
              <w:rPr>
                <w:rFonts w:ascii="Arial" w:hAnsi="Arial" w:cs="Arial"/>
              </w:rPr>
              <w:t>0</w:t>
            </w:r>
          </w:p>
        </w:tc>
        <w:tc>
          <w:tcPr>
            <w:tcW w:w="1417" w:type="dxa"/>
          </w:tcPr>
          <w:p w:rsidR="00E32E95" w:rsidRPr="0051332A" w:rsidRDefault="00E32E95" w:rsidP="00F866E8">
            <w:pPr>
              <w:pStyle w:val="ListParagraph"/>
              <w:ind w:left="0"/>
              <w:jc w:val="center"/>
              <w:rPr>
                <w:rFonts w:ascii="Arial" w:hAnsi="Arial" w:cs="Arial"/>
              </w:rPr>
            </w:pPr>
            <w:r w:rsidRPr="0051332A">
              <w:rPr>
                <w:rFonts w:ascii="Arial" w:hAnsi="Arial" w:cs="Arial"/>
              </w:rPr>
              <w:t>15</w:t>
            </w:r>
          </w:p>
        </w:tc>
        <w:tc>
          <w:tcPr>
            <w:tcW w:w="1417" w:type="dxa"/>
          </w:tcPr>
          <w:p w:rsidR="00E32E95" w:rsidRPr="0051332A" w:rsidRDefault="00E32E95" w:rsidP="00F866E8">
            <w:pPr>
              <w:pStyle w:val="ListParagraph"/>
              <w:ind w:left="0"/>
              <w:jc w:val="center"/>
              <w:rPr>
                <w:rFonts w:ascii="Arial" w:hAnsi="Arial" w:cs="Arial"/>
              </w:rPr>
            </w:pPr>
          </w:p>
        </w:tc>
      </w:tr>
      <w:tr w:rsidR="00E32E95" w:rsidRPr="00D80D50" w:rsidTr="002D1076">
        <w:trPr>
          <w:trHeight w:val="228"/>
          <w:jc w:val="center"/>
        </w:trPr>
        <w:tc>
          <w:tcPr>
            <w:tcW w:w="1897" w:type="dxa"/>
          </w:tcPr>
          <w:p w:rsidR="00E32E95" w:rsidRPr="0051332A" w:rsidRDefault="00E32E95" w:rsidP="00F0656B">
            <w:pPr>
              <w:pStyle w:val="ListParagraph"/>
              <w:ind w:left="0"/>
              <w:jc w:val="center"/>
              <w:rPr>
                <w:rFonts w:ascii="Arial" w:hAnsi="Arial" w:cs="Arial"/>
              </w:rPr>
            </w:pPr>
            <w:r w:rsidRPr="0051332A">
              <w:rPr>
                <w:rFonts w:ascii="Arial" w:hAnsi="Arial" w:cs="Arial"/>
              </w:rPr>
              <w:t>2006/07</w:t>
            </w:r>
          </w:p>
        </w:tc>
        <w:tc>
          <w:tcPr>
            <w:tcW w:w="1500" w:type="dxa"/>
          </w:tcPr>
          <w:p w:rsidR="00E32E95" w:rsidRPr="0051332A" w:rsidRDefault="00E32E95" w:rsidP="00F866E8">
            <w:pPr>
              <w:pStyle w:val="ListParagraph"/>
              <w:ind w:left="0"/>
              <w:jc w:val="center"/>
              <w:rPr>
                <w:rFonts w:ascii="Arial" w:hAnsi="Arial" w:cs="Arial"/>
              </w:rPr>
            </w:pPr>
            <w:r w:rsidRPr="0051332A">
              <w:rPr>
                <w:rFonts w:ascii="Arial" w:hAnsi="Arial" w:cs="Arial"/>
              </w:rPr>
              <w:t>12</w:t>
            </w:r>
          </w:p>
        </w:tc>
        <w:tc>
          <w:tcPr>
            <w:tcW w:w="1418" w:type="dxa"/>
          </w:tcPr>
          <w:p w:rsidR="00E32E95" w:rsidRPr="0051332A" w:rsidRDefault="00E32E95" w:rsidP="00F866E8">
            <w:pPr>
              <w:pStyle w:val="ListParagraph"/>
              <w:ind w:left="0"/>
              <w:jc w:val="center"/>
              <w:rPr>
                <w:rFonts w:ascii="Arial" w:hAnsi="Arial" w:cs="Arial"/>
              </w:rPr>
            </w:pPr>
            <w:r w:rsidRPr="0051332A">
              <w:rPr>
                <w:rFonts w:ascii="Arial" w:hAnsi="Arial" w:cs="Arial"/>
              </w:rPr>
              <w:t>2</w:t>
            </w:r>
          </w:p>
        </w:tc>
        <w:tc>
          <w:tcPr>
            <w:tcW w:w="1417" w:type="dxa"/>
          </w:tcPr>
          <w:p w:rsidR="00E32E95" w:rsidRPr="0051332A" w:rsidRDefault="00E32E95" w:rsidP="00F866E8">
            <w:pPr>
              <w:pStyle w:val="ListParagraph"/>
              <w:ind w:left="0"/>
              <w:jc w:val="center"/>
              <w:rPr>
                <w:rFonts w:ascii="Arial" w:hAnsi="Arial" w:cs="Arial"/>
              </w:rPr>
            </w:pPr>
            <w:r w:rsidRPr="0051332A">
              <w:rPr>
                <w:rFonts w:ascii="Arial" w:hAnsi="Arial" w:cs="Arial"/>
              </w:rPr>
              <w:t>14</w:t>
            </w:r>
          </w:p>
        </w:tc>
        <w:tc>
          <w:tcPr>
            <w:tcW w:w="1417" w:type="dxa"/>
          </w:tcPr>
          <w:p w:rsidR="00E32E95" w:rsidRPr="0051332A" w:rsidRDefault="00E32E95" w:rsidP="00F866E8">
            <w:pPr>
              <w:pStyle w:val="ListParagraph"/>
              <w:ind w:left="0"/>
              <w:jc w:val="center"/>
              <w:rPr>
                <w:rFonts w:ascii="Arial" w:hAnsi="Arial" w:cs="Arial"/>
              </w:rPr>
            </w:pPr>
          </w:p>
        </w:tc>
      </w:tr>
      <w:tr w:rsidR="00E32E95" w:rsidRPr="00D80D50" w:rsidTr="002D1076">
        <w:trPr>
          <w:trHeight w:val="228"/>
          <w:jc w:val="center"/>
        </w:trPr>
        <w:tc>
          <w:tcPr>
            <w:tcW w:w="1897" w:type="dxa"/>
          </w:tcPr>
          <w:p w:rsidR="00E32E95" w:rsidRPr="0051332A" w:rsidRDefault="00E32E95" w:rsidP="00F0656B">
            <w:pPr>
              <w:pStyle w:val="ListParagraph"/>
              <w:ind w:left="0"/>
              <w:jc w:val="center"/>
              <w:rPr>
                <w:rFonts w:ascii="Arial" w:hAnsi="Arial" w:cs="Arial"/>
              </w:rPr>
            </w:pPr>
            <w:r w:rsidRPr="0051332A">
              <w:rPr>
                <w:rFonts w:ascii="Arial" w:hAnsi="Arial" w:cs="Arial"/>
              </w:rPr>
              <w:t>2007/08</w:t>
            </w:r>
          </w:p>
        </w:tc>
        <w:tc>
          <w:tcPr>
            <w:tcW w:w="1500" w:type="dxa"/>
          </w:tcPr>
          <w:p w:rsidR="00E32E95" w:rsidRPr="0051332A" w:rsidRDefault="00E32E95" w:rsidP="00F866E8">
            <w:pPr>
              <w:pStyle w:val="ListParagraph"/>
              <w:ind w:left="0"/>
              <w:jc w:val="center"/>
              <w:rPr>
                <w:rFonts w:ascii="Arial" w:hAnsi="Arial" w:cs="Arial"/>
              </w:rPr>
            </w:pPr>
            <w:r w:rsidRPr="0051332A">
              <w:rPr>
                <w:rFonts w:ascii="Arial" w:hAnsi="Arial" w:cs="Arial"/>
              </w:rPr>
              <w:t>18</w:t>
            </w:r>
          </w:p>
        </w:tc>
        <w:tc>
          <w:tcPr>
            <w:tcW w:w="1418" w:type="dxa"/>
          </w:tcPr>
          <w:p w:rsidR="00E32E95" w:rsidRPr="0051332A" w:rsidRDefault="00E32E95" w:rsidP="00F866E8">
            <w:pPr>
              <w:pStyle w:val="ListParagraph"/>
              <w:ind w:left="0"/>
              <w:jc w:val="center"/>
              <w:rPr>
                <w:rFonts w:ascii="Arial" w:hAnsi="Arial" w:cs="Arial"/>
              </w:rPr>
            </w:pPr>
            <w:r w:rsidRPr="0051332A">
              <w:rPr>
                <w:rFonts w:ascii="Arial" w:hAnsi="Arial" w:cs="Arial"/>
              </w:rPr>
              <w:t>3</w:t>
            </w:r>
          </w:p>
        </w:tc>
        <w:tc>
          <w:tcPr>
            <w:tcW w:w="1417" w:type="dxa"/>
          </w:tcPr>
          <w:p w:rsidR="00E32E95" w:rsidRPr="0051332A" w:rsidRDefault="00E32E95" w:rsidP="00F866E8">
            <w:pPr>
              <w:pStyle w:val="ListParagraph"/>
              <w:ind w:left="0"/>
              <w:jc w:val="center"/>
              <w:rPr>
                <w:rFonts w:ascii="Arial" w:hAnsi="Arial" w:cs="Arial"/>
              </w:rPr>
            </w:pPr>
            <w:r w:rsidRPr="0051332A">
              <w:rPr>
                <w:rFonts w:ascii="Arial" w:hAnsi="Arial" w:cs="Arial"/>
              </w:rPr>
              <w:t>21</w:t>
            </w:r>
          </w:p>
        </w:tc>
        <w:tc>
          <w:tcPr>
            <w:tcW w:w="1417" w:type="dxa"/>
          </w:tcPr>
          <w:p w:rsidR="00E32E95" w:rsidRPr="0051332A" w:rsidRDefault="00E32E95" w:rsidP="00F866E8">
            <w:pPr>
              <w:pStyle w:val="ListParagraph"/>
              <w:ind w:left="0"/>
              <w:jc w:val="center"/>
              <w:rPr>
                <w:rFonts w:ascii="Arial" w:hAnsi="Arial" w:cs="Arial"/>
              </w:rPr>
            </w:pPr>
          </w:p>
        </w:tc>
      </w:tr>
      <w:tr w:rsidR="00E32E95" w:rsidRPr="00D80D50" w:rsidTr="002D1076">
        <w:trPr>
          <w:trHeight w:val="228"/>
          <w:jc w:val="center"/>
        </w:trPr>
        <w:tc>
          <w:tcPr>
            <w:tcW w:w="1897" w:type="dxa"/>
          </w:tcPr>
          <w:p w:rsidR="00E32E95" w:rsidRPr="0051332A" w:rsidRDefault="00E32E95" w:rsidP="00F0656B">
            <w:pPr>
              <w:pStyle w:val="ListParagraph"/>
              <w:ind w:left="0"/>
              <w:jc w:val="center"/>
              <w:rPr>
                <w:rFonts w:ascii="Arial" w:hAnsi="Arial" w:cs="Arial"/>
              </w:rPr>
            </w:pPr>
            <w:r w:rsidRPr="0051332A">
              <w:rPr>
                <w:rFonts w:ascii="Arial" w:hAnsi="Arial" w:cs="Arial"/>
              </w:rPr>
              <w:t>2008/09</w:t>
            </w:r>
          </w:p>
        </w:tc>
        <w:tc>
          <w:tcPr>
            <w:tcW w:w="1500" w:type="dxa"/>
          </w:tcPr>
          <w:p w:rsidR="00E32E95" w:rsidRPr="0051332A" w:rsidRDefault="00E32E95" w:rsidP="00F866E8">
            <w:pPr>
              <w:pStyle w:val="ListParagraph"/>
              <w:ind w:left="0"/>
              <w:jc w:val="center"/>
              <w:rPr>
                <w:rFonts w:ascii="Arial" w:hAnsi="Arial" w:cs="Arial"/>
              </w:rPr>
            </w:pPr>
            <w:r w:rsidRPr="0051332A">
              <w:rPr>
                <w:rFonts w:ascii="Arial" w:hAnsi="Arial" w:cs="Arial"/>
              </w:rPr>
              <w:t>20</w:t>
            </w:r>
          </w:p>
        </w:tc>
        <w:tc>
          <w:tcPr>
            <w:tcW w:w="1418" w:type="dxa"/>
          </w:tcPr>
          <w:p w:rsidR="00E32E95" w:rsidRPr="0051332A" w:rsidRDefault="00E32E95" w:rsidP="00F866E8">
            <w:pPr>
              <w:pStyle w:val="ListParagraph"/>
              <w:ind w:left="0"/>
              <w:jc w:val="center"/>
              <w:rPr>
                <w:rFonts w:ascii="Arial" w:hAnsi="Arial" w:cs="Arial"/>
              </w:rPr>
            </w:pPr>
            <w:r w:rsidRPr="0051332A">
              <w:rPr>
                <w:rFonts w:ascii="Arial" w:hAnsi="Arial" w:cs="Arial"/>
              </w:rPr>
              <w:t>1</w:t>
            </w:r>
          </w:p>
        </w:tc>
        <w:tc>
          <w:tcPr>
            <w:tcW w:w="1417" w:type="dxa"/>
          </w:tcPr>
          <w:p w:rsidR="00E32E95" w:rsidRPr="0051332A" w:rsidRDefault="00E32E95" w:rsidP="00F866E8">
            <w:pPr>
              <w:pStyle w:val="ListParagraph"/>
              <w:ind w:left="0"/>
              <w:jc w:val="center"/>
              <w:rPr>
                <w:rFonts w:ascii="Arial" w:hAnsi="Arial" w:cs="Arial"/>
              </w:rPr>
            </w:pPr>
            <w:r w:rsidRPr="0051332A">
              <w:rPr>
                <w:rFonts w:ascii="Arial" w:hAnsi="Arial" w:cs="Arial"/>
              </w:rPr>
              <w:t>21</w:t>
            </w:r>
          </w:p>
        </w:tc>
        <w:tc>
          <w:tcPr>
            <w:tcW w:w="1417" w:type="dxa"/>
          </w:tcPr>
          <w:p w:rsidR="00E32E95" w:rsidRPr="0051332A" w:rsidRDefault="00E32E95" w:rsidP="00F866E8">
            <w:pPr>
              <w:pStyle w:val="ListParagraph"/>
              <w:ind w:left="0"/>
              <w:jc w:val="center"/>
              <w:rPr>
                <w:rFonts w:ascii="Arial" w:hAnsi="Arial" w:cs="Arial"/>
              </w:rPr>
            </w:pPr>
          </w:p>
        </w:tc>
      </w:tr>
      <w:tr w:rsidR="00E32E95" w:rsidRPr="00D80D50" w:rsidTr="002D1076">
        <w:trPr>
          <w:trHeight w:val="228"/>
          <w:jc w:val="center"/>
        </w:trPr>
        <w:tc>
          <w:tcPr>
            <w:tcW w:w="1897" w:type="dxa"/>
          </w:tcPr>
          <w:p w:rsidR="00E32E95" w:rsidRPr="0051332A" w:rsidRDefault="00E32E95" w:rsidP="00F0656B">
            <w:pPr>
              <w:pStyle w:val="ListParagraph"/>
              <w:ind w:left="0"/>
              <w:jc w:val="center"/>
              <w:rPr>
                <w:rFonts w:ascii="Arial" w:hAnsi="Arial" w:cs="Arial"/>
              </w:rPr>
            </w:pPr>
            <w:r w:rsidRPr="0051332A">
              <w:rPr>
                <w:rFonts w:ascii="Arial" w:hAnsi="Arial" w:cs="Arial"/>
              </w:rPr>
              <w:t>2009/10</w:t>
            </w:r>
          </w:p>
        </w:tc>
        <w:tc>
          <w:tcPr>
            <w:tcW w:w="1500" w:type="dxa"/>
          </w:tcPr>
          <w:p w:rsidR="00E32E95" w:rsidRPr="0051332A" w:rsidRDefault="00E32E95" w:rsidP="00F866E8">
            <w:pPr>
              <w:pStyle w:val="ListParagraph"/>
              <w:ind w:left="0"/>
              <w:jc w:val="center"/>
              <w:rPr>
                <w:rFonts w:ascii="Arial" w:hAnsi="Arial" w:cs="Arial"/>
              </w:rPr>
            </w:pPr>
            <w:r>
              <w:rPr>
                <w:rFonts w:ascii="Arial" w:hAnsi="Arial" w:cs="Arial"/>
              </w:rPr>
              <w:t>11</w:t>
            </w:r>
          </w:p>
        </w:tc>
        <w:tc>
          <w:tcPr>
            <w:tcW w:w="1418" w:type="dxa"/>
          </w:tcPr>
          <w:p w:rsidR="00E32E95" w:rsidRPr="0051332A" w:rsidRDefault="00E32E95" w:rsidP="00F866E8">
            <w:pPr>
              <w:pStyle w:val="ListParagraph"/>
              <w:ind w:left="0"/>
              <w:jc w:val="center"/>
              <w:rPr>
                <w:rFonts w:ascii="Arial" w:hAnsi="Arial" w:cs="Arial"/>
              </w:rPr>
            </w:pPr>
            <w:r>
              <w:rPr>
                <w:rFonts w:ascii="Arial" w:hAnsi="Arial" w:cs="Arial"/>
              </w:rPr>
              <w:t>10</w:t>
            </w:r>
          </w:p>
        </w:tc>
        <w:tc>
          <w:tcPr>
            <w:tcW w:w="1417" w:type="dxa"/>
          </w:tcPr>
          <w:p w:rsidR="00E32E95" w:rsidRPr="0051332A" w:rsidRDefault="00E32E95" w:rsidP="00F866E8">
            <w:pPr>
              <w:pStyle w:val="ListParagraph"/>
              <w:ind w:left="0"/>
              <w:jc w:val="center"/>
              <w:rPr>
                <w:rFonts w:ascii="Arial" w:hAnsi="Arial" w:cs="Arial"/>
              </w:rPr>
            </w:pPr>
            <w:r w:rsidRPr="0051332A">
              <w:rPr>
                <w:rFonts w:ascii="Arial" w:hAnsi="Arial" w:cs="Arial"/>
              </w:rPr>
              <w:t>21</w:t>
            </w:r>
          </w:p>
        </w:tc>
        <w:tc>
          <w:tcPr>
            <w:tcW w:w="1417" w:type="dxa"/>
          </w:tcPr>
          <w:p w:rsidR="00E32E95" w:rsidRPr="0051332A" w:rsidRDefault="00E32E95" w:rsidP="00F866E8">
            <w:pPr>
              <w:pStyle w:val="ListParagraph"/>
              <w:ind w:left="0"/>
              <w:jc w:val="center"/>
              <w:rPr>
                <w:rFonts w:ascii="Arial" w:hAnsi="Arial" w:cs="Arial"/>
              </w:rPr>
            </w:pPr>
          </w:p>
        </w:tc>
      </w:tr>
      <w:tr w:rsidR="00E32E95" w:rsidRPr="00D80D50" w:rsidTr="002D1076">
        <w:trPr>
          <w:trHeight w:val="228"/>
          <w:jc w:val="center"/>
        </w:trPr>
        <w:tc>
          <w:tcPr>
            <w:tcW w:w="1897" w:type="dxa"/>
          </w:tcPr>
          <w:p w:rsidR="00E32E95" w:rsidRPr="0051332A" w:rsidRDefault="00E32E95" w:rsidP="00F0656B">
            <w:pPr>
              <w:pStyle w:val="ListParagraph"/>
              <w:ind w:left="0"/>
              <w:jc w:val="center"/>
              <w:rPr>
                <w:rFonts w:ascii="Arial" w:hAnsi="Arial" w:cs="Arial"/>
              </w:rPr>
            </w:pPr>
            <w:r w:rsidRPr="0051332A">
              <w:rPr>
                <w:rFonts w:ascii="Arial" w:hAnsi="Arial" w:cs="Arial"/>
              </w:rPr>
              <w:t>2010/11</w:t>
            </w:r>
          </w:p>
        </w:tc>
        <w:tc>
          <w:tcPr>
            <w:tcW w:w="1500" w:type="dxa"/>
          </w:tcPr>
          <w:p w:rsidR="00E32E95" w:rsidRPr="0051332A" w:rsidRDefault="00E32E95" w:rsidP="00F866E8">
            <w:pPr>
              <w:pStyle w:val="ListParagraph"/>
              <w:ind w:left="0"/>
              <w:jc w:val="center"/>
              <w:rPr>
                <w:rFonts w:ascii="Arial" w:hAnsi="Arial" w:cs="Arial"/>
              </w:rPr>
            </w:pPr>
            <w:r>
              <w:rPr>
                <w:rFonts w:ascii="Arial" w:hAnsi="Arial" w:cs="Arial"/>
              </w:rPr>
              <w:t>25</w:t>
            </w:r>
          </w:p>
        </w:tc>
        <w:tc>
          <w:tcPr>
            <w:tcW w:w="1418" w:type="dxa"/>
          </w:tcPr>
          <w:p w:rsidR="00E32E95" w:rsidRPr="0051332A" w:rsidRDefault="00E32E95" w:rsidP="00F866E8">
            <w:pPr>
              <w:pStyle w:val="ListParagraph"/>
              <w:ind w:left="0"/>
              <w:jc w:val="center"/>
              <w:rPr>
                <w:rFonts w:ascii="Arial" w:hAnsi="Arial" w:cs="Arial"/>
              </w:rPr>
            </w:pPr>
            <w:r>
              <w:rPr>
                <w:rFonts w:ascii="Arial" w:hAnsi="Arial" w:cs="Arial"/>
              </w:rPr>
              <w:t>9</w:t>
            </w:r>
          </w:p>
        </w:tc>
        <w:tc>
          <w:tcPr>
            <w:tcW w:w="1417" w:type="dxa"/>
          </w:tcPr>
          <w:p w:rsidR="00E32E95" w:rsidRPr="0051332A" w:rsidRDefault="00E32E95" w:rsidP="00F866E8">
            <w:pPr>
              <w:pStyle w:val="ListParagraph"/>
              <w:ind w:left="0"/>
              <w:jc w:val="center"/>
              <w:rPr>
                <w:rFonts w:ascii="Arial" w:hAnsi="Arial" w:cs="Arial"/>
              </w:rPr>
            </w:pPr>
            <w:r w:rsidRPr="0051332A">
              <w:rPr>
                <w:rFonts w:ascii="Arial" w:hAnsi="Arial" w:cs="Arial"/>
              </w:rPr>
              <w:t>34</w:t>
            </w:r>
          </w:p>
        </w:tc>
        <w:tc>
          <w:tcPr>
            <w:tcW w:w="1417" w:type="dxa"/>
          </w:tcPr>
          <w:p w:rsidR="00E32E95" w:rsidRPr="0051332A" w:rsidRDefault="00E32E95" w:rsidP="00F866E8">
            <w:pPr>
              <w:pStyle w:val="ListParagraph"/>
              <w:ind w:left="0"/>
              <w:jc w:val="center"/>
              <w:rPr>
                <w:rFonts w:ascii="Arial" w:hAnsi="Arial" w:cs="Arial"/>
              </w:rPr>
            </w:pPr>
            <w:r>
              <w:rPr>
                <w:rFonts w:ascii="Arial" w:hAnsi="Arial" w:cs="Arial"/>
              </w:rPr>
              <w:t>2</w:t>
            </w:r>
          </w:p>
        </w:tc>
      </w:tr>
      <w:tr w:rsidR="00E32E95" w:rsidRPr="00D80D50" w:rsidTr="002D1076">
        <w:trPr>
          <w:trHeight w:val="228"/>
          <w:jc w:val="center"/>
        </w:trPr>
        <w:tc>
          <w:tcPr>
            <w:tcW w:w="1897" w:type="dxa"/>
          </w:tcPr>
          <w:p w:rsidR="00E32E95" w:rsidRPr="0051332A" w:rsidRDefault="00E32E95" w:rsidP="00F0656B">
            <w:pPr>
              <w:pStyle w:val="ListParagraph"/>
              <w:ind w:left="0"/>
              <w:jc w:val="center"/>
              <w:rPr>
                <w:rFonts w:ascii="Arial" w:hAnsi="Arial" w:cs="Arial"/>
              </w:rPr>
            </w:pPr>
            <w:r w:rsidRPr="0051332A">
              <w:rPr>
                <w:rFonts w:ascii="Arial" w:hAnsi="Arial" w:cs="Arial"/>
              </w:rPr>
              <w:t>2011/12</w:t>
            </w:r>
          </w:p>
        </w:tc>
        <w:tc>
          <w:tcPr>
            <w:tcW w:w="1500" w:type="dxa"/>
          </w:tcPr>
          <w:p w:rsidR="00E32E95" w:rsidRPr="0051332A" w:rsidRDefault="00E32E95" w:rsidP="00F866E8">
            <w:pPr>
              <w:pStyle w:val="ListParagraph"/>
              <w:ind w:left="0"/>
              <w:jc w:val="center"/>
              <w:rPr>
                <w:rFonts w:ascii="Arial" w:hAnsi="Arial" w:cs="Arial"/>
              </w:rPr>
            </w:pPr>
            <w:r w:rsidRPr="0051332A">
              <w:rPr>
                <w:rFonts w:ascii="Arial" w:hAnsi="Arial" w:cs="Arial"/>
              </w:rPr>
              <w:t>50</w:t>
            </w:r>
          </w:p>
        </w:tc>
        <w:tc>
          <w:tcPr>
            <w:tcW w:w="1418" w:type="dxa"/>
          </w:tcPr>
          <w:p w:rsidR="00E32E95" w:rsidRPr="0051332A" w:rsidRDefault="00E32E95" w:rsidP="00F866E8">
            <w:pPr>
              <w:pStyle w:val="ListParagraph"/>
              <w:ind w:left="0"/>
              <w:jc w:val="center"/>
              <w:rPr>
                <w:rFonts w:ascii="Arial" w:hAnsi="Arial" w:cs="Arial"/>
              </w:rPr>
            </w:pPr>
            <w:r w:rsidRPr="0051332A">
              <w:rPr>
                <w:rFonts w:ascii="Arial" w:hAnsi="Arial" w:cs="Arial"/>
              </w:rPr>
              <w:t>18</w:t>
            </w:r>
          </w:p>
        </w:tc>
        <w:tc>
          <w:tcPr>
            <w:tcW w:w="1417" w:type="dxa"/>
          </w:tcPr>
          <w:p w:rsidR="00E32E95" w:rsidRPr="0051332A" w:rsidRDefault="00E32E95" w:rsidP="00F866E8">
            <w:pPr>
              <w:pStyle w:val="ListParagraph"/>
              <w:ind w:left="0"/>
              <w:jc w:val="center"/>
              <w:rPr>
                <w:rFonts w:ascii="Arial" w:hAnsi="Arial" w:cs="Arial"/>
              </w:rPr>
            </w:pPr>
            <w:r w:rsidRPr="0051332A">
              <w:rPr>
                <w:rFonts w:ascii="Arial" w:hAnsi="Arial" w:cs="Arial"/>
              </w:rPr>
              <w:t>68</w:t>
            </w:r>
          </w:p>
        </w:tc>
        <w:tc>
          <w:tcPr>
            <w:tcW w:w="1417" w:type="dxa"/>
          </w:tcPr>
          <w:p w:rsidR="00E32E95" w:rsidRPr="0051332A" w:rsidRDefault="00E32E95" w:rsidP="00F866E8">
            <w:pPr>
              <w:pStyle w:val="ListParagraph"/>
              <w:ind w:left="0"/>
              <w:jc w:val="center"/>
              <w:rPr>
                <w:rFonts w:ascii="Arial" w:hAnsi="Arial" w:cs="Arial"/>
              </w:rPr>
            </w:pPr>
          </w:p>
        </w:tc>
      </w:tr>
      <w:tr w:rsidR="00E32E95" w:rsidRPr="00D80D50" w:rsidTr="002D1076">
        <w:trPr>
          <w:trHeight w:val="228"/>
          <w:jc w:val="center"/>
        </w:trPr>
        <w:tc>
          <w:tcPr>
            <w:tcW w:w="1897" w:type="dxa"/>
            <w:shd w:val="clear" w:color="auto" w:fill="auto"/>
          </w:tcPr>
          <w:p w:rsidR="00E32E95" w:rsidRPr="0051332A" w:rsidRDefault="00E32E95" w:rsidP="00F0656B">
            <w:pPr>
              <w:pStyle w:val="ListParagraph"/>
              <w:ind w:left="0"/>
              <w:jc w:val="center"/>
              <w:rPr>
                <w:rFonts w:ascii="Arial" w:hAnsi="Arial" w:cs="Arial"/>
              </w:rPr>
            </w:pPr>
            <w:r w:rsidRPr="0051332A">
              <w:rPr>
                <w:rFonts w:ascii="Arial" w:hAnsi="Arial" w:cs="Arial"/>
              </w:rPr>
              <w:t>2012/13</w:t>
            </w:r>
          </w:p>
        </w:tc>
        <w:tc>
          <w:tcPr>
            <w:tcW w:w="1500" w:type="dxa"/>
            <w:shd w:val="clear" w:color="auto" w:fill="auto"/>
          </w:tcPr>
          <w:p w:rsidR="00E32E95" w:rsidRPr="0051332A" w:rsidRDefault="00E32E95" w:rsidP="00F866E8">
            <w:pPr>
              <w:pStyle w:val="ListParagraph"/>
              <w:ind w:left="0"/>
              <w:jc w:val="center"/>
              <w:rPr>
                <w:rFonts w:ascii="Arial" w:hAnsi="Arial" w:cs="Arial"/>
              </w:rPr>
            </w:pPr>
            <w:r>
              <w:rPr>
                <w:rFonts w:ascii="Arial" w:hAnsi="Arial" w:cs="Arial"/>
              </w:rPr>
              <w:t>155</w:t>
            </w:r>
          </w:p>
        </w:tc>
        <w:tc>
          <w:tcPr>
            <w:tcW w:w="1418" w:type="dxa"/>
            <w:shd w:val="clear" w:color="auto" w:fill="auto"/>
          </w:tcPr>
          <w:p w:rsidR="00E32E95" w:rsidRPr="0051332A" w:rsidRDefault="00E32E95" w:rsidP="00F866E8">
            <w:pPr>
              <w:pStyle w:val="ListParagraph"/>
              <w:ind w:left="0"/>
              <w:jc w:val="center"/>
              <w:rPr>
                <w:rFonts w:ascii="Arial" w:hAnsi="Arial" w:cs="Arial"/>
              </w:rPr>
            </w:pPr>
            <w:r>
              <w:rPr>
                <w:rFonts w:ascii="Arial" w:hAnsi="Arial" w:cs="Arial"/>
              </w:rPr>
              <w:t>8</w:t>
            </w:r>
          </w:p>
        </w:tc>
        <w:tc>
          <w:tcPr>
            <w:tcW w:w="1417" w:type="dxa"/>
            <w:shd w:val="clear" w:color="auto" w:fill="auto"/>
          </w:tcPr>
          <w:p w:rsidR="00E32E95" w:rsidRPr="0051332A" w:rsidRDefault="00E32E95" w:rsidP="00F866E8">
            <w:pPr>
              <w:pStyle w:val="ListParagraph"/>
              <w:ind w:left="0"/>
              <w:jc w:val="center"/>
              <w:rPr>
                <w:rFonts w:ascii="Arial" w:hAnsi="Arial" w:cs="Arial"/>
              </w:rPr>
            </w:pPr>
            <w:r w:rsidRPr="0051332A">
              <w:rPr>
                <w:rFonts w:ascii="Arial" w:hAnsi="Arial" w:cs="Arial"/>
              </w:rPr>
              <w:t>163</w:t>
            </w:r>
          </w:p>
        </w:tc>
        <w:tc>
          <w:tcPr>
            <w:tcW w:w="1417" w:type="dxa"/>
          </w:tcPr>
          <w:p w:rsidR="00E32E95" w:rsidRPr="0051332A" w:rsidRDefault="00E32E95" w:rsidP="00F866E8">
            <w:pPr>
              <w:pStyle w:val="ListParagraph"/>
              <w:ind w:left="0"/>
              <w:jc w:val="center"/>
              <w:rPr>
                <w:rFonts w:ascii="Arial" w:hAnsi="Arial" w:cs="Arial"/>
              </w:rPr>
            </w:pPr>
            <w:r>
              <w:rPr>
                <w:rFonts w:ascii="Arial" w:hAnsi="Arial" w:cs="Arial"/>
              </w:rPr>
              <w:t>6</w:t>
            </w:r>
          </w:p>
        </w:tc>
      </w:tr>
      <w:tr w:rsidR="00E32E95" w:rsidRPr="00D80D50" w:rsidTr="002D1076">
        <w:trPr>
          <w:trHeight w:val="228"/>
          <w:jc w:val="center"/>
        </w:trPr>
        <w:tc>
          <w:tcPr>
            <w:tcW w:w="1897" w:type="dxa"/>
          </w:tcPr>
          <w:p w:rsidR="00E32E95" w:rsidRPr="0051332A" w:rsidRDefault="00E32E95" w:rsidP="00F0656B">
            <w:pPr>
              <w:pStyle w:val="ListParagraph"/>
              <w:ind w:left="0"/>
              <w:jc w:val="center"/>
              <w:rPr>
                <w:rFonts w:ascii="Arial" w:hAnsi="Arial" w:cs="Arial"/>
              </w:rPr>
            </w:pPr>
            <w:r w:rsidRPr="0051332A">
              <w:rPr>
                <w:rFonts w:ascii="Arial" w:hAnsi="Arial" w:cs="Arial"/>
              </w:rPr>
              <w:t>2013/14</w:t>
            </w:r>
          </w:p>
        </w:tc>
        <w:tc>
          <w:tcPr>
            <w:tcW w:w="1500" w:type="dxa"/>
          </w:tcPr>
          <w:p w:rsidR="00E32E95" w:rsidRPr="0051332A" w:rsidRDefault="00E32E95" w:rsidP="00F866E8">
            <w:pPr>
              <w:pStyle w:val="ListParagraph"/>
              <w:ind w:left="0"/>
              <w:jc w:val="center"/>
              <w:rPr>
                <w:rFonts w:ascii="Arial" w:hAnsi="Arial" w:cs="Arial"/>
              </w:rPr>
            </w:pPr>
            <w:r w:rsidRPr="0051332A">
              <w:rPr>
                <w:rFonts w:ascii="Arial" w:hAnsi="Arial" w:cs="Arial"/>
              </w:rPr>
              <w:t>104</w:t>
            </w:r>
          </w:p>
        </w:tc>
        <w:tc>
          <w:tcPr>
            <w:tcW w:w="1418" w:type="dxa"/>
          </w:tcPr>
          <w:p w:rsidR="00E32E95" w:rsidRPr="0051332A" w:rsidRDefault="00E32E95" w:rsidP="00F866E8">
            <w:pPr>
              <w:pStyle w:val="ListParagraph"/>
              <w:ind w:left="0"/>
              <w:jc w:val="center"/>
              <w:rPr>
                <w:rFonts w:ascii="Arial" w:hAnsi="Arial" w:cs="Arial"/>
              </w:rPr>
            </w:pPr>
            <w:r w:rsidRPr="0051332A">
              <w:rPr>
                <w:rFonts w:ascii="Arial" w:hAnsi="Arial" w:cs="Arial"/>
              </w:rPr>
              <w:t>12</w:t>
            </w:r>
          </w:p>
        </w:tc>
        <w:tc>
          <w:tcPr>
            <w:tcW w:w="1417" w:type="dxa"/>
          </w:tcPr>
          <w:p w:rsidR="00E32E95" w:rsidRPr="0051332A" w:rsidRDefault="00E32E95" w:rsidP="00F866E8">
            <w:pPr>
              <w:pStyle w:val="ListParagraph"/>
              <w:ind w:left="0"/>
              <w:jc w:val="center"/>
              <w:rPr>
                <w:rFonts w:ascii="Arial" w:hAnsi="Arial" w:cs="Arial"/>
              </w:rPr>
            </w:pPr>
            <w:r w:rsidRPr="0051332A">
              <w:rPr>
                <w:rFonts w:ascii="Arial" w:hAnsi="Arial" w:cs="Arial"/>
              </w:rPr>
              <w:t>116</w:t>
            </w:r>
          </w:p>
        </w:tc>
        <w:tc>
          <w:tcPr>
            <w:tcW w:w="1417" w:type="dxa"/>
          </w:tcPr>
          <w:p w:rsidR="00E32E95" w:rsidRPr="0051332A" w:rsidRDefault="00E32E95" w:rsidP="00F866E8">
            <w:pPr>
              <w:pStyle w:val="ListParagraph"/>
              <w:ind w:left="0"/>
              <w:jc w:val="center"/>
              <w:rPr>
                <w:rFonts w:ascii="Arial" w:hAnsi="Arial" w:cs="Arial"/>
              </w:rPr>
            </w:pPr>
            <w:r>
              <w:rPr>
                <w:rFonts w:ascii="Arial" w:hAnsi="Arial" w:cs="Arial"/>
              </w:rPr>
              <w:t>1</w:t>
            </w:r>
          </w:p>
        </w:tc>
      </w:tr>
      <w:tr w:rsidR="00E32E95" w:rsidRPr="00D80D50" w:rsidTr="002D1076">
        <w:trPr>
          <w:trHeight w:val="228"/>
          <w:jc w:val="center"/>
        </w:trPr>
        <w:tc>
          <w:tcPr>
            <w:tcW w:w="1897" w:type="dxa"/>
          </w:tcPr>
          <w:p w:rsidR="00E32E95" w:rsidRPr="0051332A" w:rsidRDefault="00E32E95" w:rsidP="00F0656B">
            <w:pPr>
              <w:pStyle w:val="ListParagraph"/>
              <w:ind w:left="0"/>
              <w:jc w:val="center"/>
              <w:rPr>
                <w:rFonts w:ascii="Arial" w:hAnsi="Arial" w:cs="Arial"/>
              </w:rPr>
            </w:pPr>
            <w:r w:rsidRPr="0051332A">
              <w:rPr>
                <w:rFonts w:ascii="Arial" w:hAnsi="Arial" w:cs="Arial"/>
              </w:rPr>
              <w:t>2014/15</w:t>
            </w:r>
          </w:p>
        </w:tc>
        <w:tc>
          <w:tcPr>
            <w:tcW w:w="1500" w:type="dxa"/>
          </w:tcPr>
          <w:p w:rsidR="00E32E95" w:rsidRPr="0051332A" w:rsidRDefault="00E32E95" w:rsidP="00F866E8">
            <w:pPr>
              <w:pStyle w:val="ListParagraph"/>
              <w:ind w:left="0"/>
              <w:jc w:val="center"/>
              <w:rPr>
                <w:rFonts w:ascii="Arial" w:hAnsi="Arial" w:cs="Arial"/>
              </w:rPr>
            </w:pPr>
            <w:r w:rsidRPr="0051332A">
              <w:rPr>
                <w:rFonts w:ascii="Arial" w:hAnsi="Arial" w:cs="Arial"/>
              </w:rPr>
              <w:t>103</w:t>
            </w:r>
          </w:p>
        </w:tc>
        <w:tc>
          <w:tcPr>
            <w:tcW w:w="1418" w:type="dxa"/>
          </w:tcPr>
          <w:p w:rsidR="00E32E95" w:rsidRPr="0051332A" w:rsidRDefault="00E32E95" w:rsidP="00F866E8">
            <w:pPr>
              <w:pStyle w:val="ListParagraph"/>
              <w:ind w:left="0"/>
              <w:jc w:val="center"/>
              <w:rPr>
                <w:rFonts w:ascii="Arial" w:hAnsi="Arial" w:cs="Arial"/>
              </w:rPr>
            </w:pPr>
            <w:r w:rsidRPr="0051332A">
              <w:rPr>
                <w:rFonts w:ascii="Arial" w:hAnsi="Arial" w:cs="Arial"/>
              </w:rPr>
              <w:t>23</w:t>
            </w:r>
          </w:p>
        </w:tc>
        <w:tc>
          <w:tcPr>
            <w:tcW w:w="1417" w:type="dxa"/>
          </w:tcPr>
          <w:p w:rsidR="00E32E95" w:rsidRPr="0051332A" w:rsidRDefault="00E32E95" w:rsidP="00F866E8">
            <w:pPr>
              <w:pStyle w:val="ListParagraph"/>
              <w:ind w:left="0"/>
              <w:jc w:val="center"/>
              <w:rPr>
                <w:rFonts w:ascii="Arial" w:hAnsi="Arial" w:cs="Arial"/>
              </w:rPr>
            </w:pPr>
            <w:r w:rsidRPr="0051332A">
              <w:rPr>
                <w:rFonts w:ascii="Arial" w:hAnsi="Arial" w:cs="Arial"/>
              </w:rPr>
              <w:t>126</w:t>
            </w:r>
          </w:p>
        </w:tc>
        <w:tc>
          <w:tcPr>
            <w:tcW w:w="1417" w:type="dxa"/>
          </w:tcPr>
          <w:p w:rsidR="00E32E95" w:rsidRPr="0051332A" w:rsidRDefault="00E32E95" w:rsidP="00F866E8">
            <w:pPr>
              <w:pStyle w:val="ListParagraph"/>
              <w:ind w:left="0"/>
              <w:jc w:val="center"/>
              <w:rPr>
                <w:rFonts w:ascii="Arial" w:hAnsi="Arial" w:cs="Arial"/>
              </w:rPr>
            </w:pPr>
          </w:p>
        </w:tc>
      </w:tr>
      <w:tr w:rsidR="00E32E95" w:rsidRPr="00D80D50" w:rsidTr="002D1076">
        <w:trPr>
          <w:trHeight w:val="228"/>
          <w:jc w:val="center"/>
        </w:trPr>
        <w:tc>
          <w:tcPr>
            <w:tcW w:w="1897" w:type="dxa"/>
            <w:shd w:val="clear" w:color="auto" w:fill="F2F2F2" w:themeFill="background1" w:themeFillShade="F2"/>
          </w:tcPr>
          <w:p w:rsidR="00E32E95" w:rsidRPr="0051332A" w:rsidRDefault="00E32E95" w:rsidP="0041616F">
            <w:pPr>
              <w:pStyle w:val="ListParagraph"/>
              <w:ind w:left="0"/>
              <w:jc w:val="center"/>
              <w:rPr>
                <w:rFonts w:ascii="Arial" w:hAnsi="Arial" w:cs="Arial"/>
                <w:b/>
              </w:rPr>
            </w:pPr>
            <w:r w:rsidRPr="0051332A">
              <w:rPr>
                <w:rFonts w:ascii="Arial" w:hAnsi="Arial" w:cs="Arial"/>
                <w:b/>
              </w:rPr>
              <w:t>TOTAL</w:t>
            </w:r>
          </w:p>
        </w:tc>
        <w:tc>
          <w:tcPr>
            <w:tcW w:w="1500" w:type="dxa"/>
            <w:shd w:val="clear" w:color="auto" w:fill="F2F2F2" w:themeFill="background1" w:themeFillShade="F2"/>
          </w:tcPr>
          <w:p w:rsidR="00E32E95" w:rsidRPr="0051332A" w:rsidRDefault="00E32E95" w:rsidP="00F866E8">
            <w:pPr>
              <w:pStyle w:val="ListParagraph"/>
              <w:ind w:left="0"/>
              <w:jc w:val="center"/>
              <w:rPr>
                <w:rFonts w:ascii="Arial" w:hAnsi="Arial" w:cs="Arial"/>
                <w:b/>
              </w:rPr>
            </w:pPr>
            <w:r w:rsidRPr="0051332A">
              <w:rPr>
                <w:rFonts w:ascii="Arial" w:hAnsi="Arial" w:cs="Arial"/>
                <w:b/>
              </w:rPr>
              <w:t>524</w:t>
            </w:r>
          </w:p>
        </w:tc>
        <w:tc>
          <w:tcPr>
            <w:tcW w:w="1418" w:type="dxa"/>
            <w:shd w:val="clear" w:color="auto" w:fill="F2F2F2" w:themeFill="background1" w:themeFillShade="F2"/>
          </w:tcPr>
          <w:p w:rsidR="00E32E95" w:rsidRPr="0051332A" w:rsidRDefault="00E32E95" w:rsidP="00F866E8">
            <w:pPr>
              <w:pStyle w:val="ListParagraph"/>
              <w:ind w:left="0"/>
              <w:jc w:val="center"/>
              <w:rPr>
                <w:rFonts w:ascii="Arial" w:hAnsi="Arial" w:cs="Arial"/>
                <w:b/>
              </w:rPr>
            </w:pPr>
            <w:r w:rsidRPr="0051332A">
              <w:rPr>
                <w:rFonts w:ascii="Arial" w:hAnsi="Arial" w:cs="Arial"/>
                <w:b/>
              </w:rPr>
              <w:t>81</w:t>
            </w:r>
          </w:p>
        </w:tc>
        <w:tc>
          <w:tcPr>
            <w:tcW w:w="1417" w:type="dxa"/>
            <w:shd w:val="clear" w:color="auto" w:fill="F2F2F2" w:themeFill="background1" w:themeFillShade="F2"/>
          </w:tcPr>
          <w:p w:rsidR="00E32E95" w:rsidRPr="0051332A" w:rsidRDefault="00E32E95" w:rsidP="00F866E8">
            <w:pPr>
              <w:pStyle w:val="ListParagraph"/>
              <w:ind w:left="0"/>
              <w:jc w:val="center"/>
              <w:rPr>
                <w:rFonts w:ascii="Arial" w:hAnsi="Arial" w:cs="Arial"/>
                <w:b/>
              </w:rPr>
            </w:pPr>
            <w:r w:rsidRPr="0051332A">
              <w:rPr>
                <w:rFonts w:ascii="Arial" w:hAnsi="Arial" w:cs="Arial"/>
                <w:b/>
              </w:rPr>
              <w:t>605</w:t>
            </w:r>
          </w:p>
        </w:tc>
        <w:tc>
          <w:tcPr>
            <w:tcW w:w="1417" w:type="dxa"/>
            <w:shd w:val="clear" w:color="auto" w:fill="F2F2F2" w:themeFill="background1" w:themeFillShade="F2"/>
          </w:tcPr>
          <w:p w:rsidR="00E32E95" w:rsidRPr="0051332A" w:rsidRDefault="005472B1" w:rsidP="00F866E8">
            <w:pPr>
              <w:pStyle w:val="ListParagraph"/>
              <w:ind w:left="0"/>
              <w:jc w:val="center"/>
              <w:rPr>
                <w:rFonts w:ascii="Arial" w:hAnsi="Arial" w:cs="Arial"/>
                <w:b/>
              </w:rPr>
            </w:pPr>
            <w:r>
              <w:rPr>
                <w:rFonts w:ascii="Arial" w:hAnsi="Arial" w:cs="Arial"/>
                <w:b/>
              </w:rPr>
              <w:t>9</w:t>
            </w:r>
          </w:p>
        </w:tc>
      </w:tr>
    </w:tbl>
    <w:p w:rsidR="0010213F" w:rsidRDefault="0010213F" w:rsidP="0075663F">
      <w:pPr>
        <w:pStyle w:val="EndnoteText"/>
        <w:autoSpaceDE w:val="0"/>
        <w:autoSpaceDN w:val="0"/>
        <w:adjustRightInd w:val="0"/>
        <w:ind w:firstLine="709"/>
        <w:jc w:val="both"/>
        <w:rPr>
          <w:rFonts w:ascii="Arial" w:hAnsi="Arial" w:cs="Arial"/>
          <w:color w:val="000000" w:themeColor="text1"/>
          <w:sz w:val="18"/>
          <w:szCs w:val="18"/>
        </w:rPr>
      </w:pPr>
      <w:r w:rsidRPr="0051332A">
        <w:rPr>
          <w:rFonts w:ascii="Arial" w:hAnsi="Arial" w:cs="Arial"/>
          <w:color w:val="000000" w:themeColor="text1"/>
          <w:sz w:val="18"/>
          <w:szCs w:val="18"/>
        </w:rPr>
        <w:t>Source: D</w:t>
      </w:r>
      <w:r w:rsidR="0063162B">
        <w:rPr>
          <w:rFonts w:ascii="Arial" w:hAnsi="Arial" w:cs="Arial"/>
          <w:color w:val="000000" w:themeColor="text1"/>
          <w:sz w:val="18"/>
          <w:szCs w:val="18"/>
        </w:rPr>
        <w:t xml:space="preserve">oE </w:t>
      </w:r>
      <w:r w:rsidR="00045E9D">
        <w:rPr>
          <w:rFonts w:ascii="Arial" w:hAnsi="Arial" w:cs="Arial"/>
          <w:color w:val="000000" w:themeColor="text1"/>
          <w:sz w:val="18"/>
          <w:szCs w:val="18"/>
        </w:rPr>
        <w:t xml:space="preserve">Planning </w:t>
      </w:r>
      <w:r w:rsidR="0063162B">
        <w:rPr>
          <w:rFonts w:ascii="Arial" w:hAnsi="Arial" w:cs="Arial"/>
          <w:color w:val="000000" w:themeColor="text1"/>
          <w:sz w:val="18"/>
          <w:szCs w:val="18"/>
        </w:rPr>
        <w:t>2015</w:t>
      </w:r>
      <w:r w:rsidR="00045E9D">
        <w:rPr>
          <w:rFonts w:ascii="Arial" w:hAnsi="Arial" w:cs="Arial"/>
          <w:color w:val="000000" w:themeColor="text1"/>
          <w:sz w:val="18"/>
          <w:szCs w:val="18"/>
        </w:rPr>
        <w:t xml:space="preserve"> </w:t>
      </w:r>
    </w:p>
    <w:p w:rsidR="0075663F" w:rsidRPr="0051332A" w:rsidRDefault="0075663F" w:rsidP="0075663F">
      <w:pPr>
        <w:pStyle w:val="EndnoteText"/>
        <w:autoSpaceDE w:val="0"/>
        <w:autoSpaceDN w:val="0"/>
        <w:adjustRightInd w:val="0"/>
        <w:ind w:firstLine="709"/>
        <w:jc w:val="both"/>
        <w:rPr>
          <w:rFonts w:ascii="Arial" w:hAnsi="Arial" w:cs="Arial"/>
          <w:color w:val="000000" w:themeColor="text1"/>
          <w:sz w:val="18"/>
          <w:szCs w:val="18"/>
          <w:vertAlign w:val="superscript"/>
        </w:rPr>
      </w:pPr>
    </w:p>
    <w:p w:rsidR="0075663F" w:rsidRDefault="0075663F" w:rsidP="0075663F">
      <w:pPr>
        <w:pStyle w:val="EndnoteText"/>
        <w:autoSpaceDE w:val="0"/>
        <w:autoSpaceDN w:val="0"/>
        <w:adjustRightInd w:val="0"/>
        <w:ind w:left="709" w:hanging="709"/>
        <w:rPr>
          <w:rFonts w:ascii="Arial" w:hAnsi="Arial" w:cs="Arial"/>
          <w:color w:val="000000" w:themeColor="text1"/>
          <w:sz w:val="24"/>
          <w:szCs w:val="24"/>
        </w:rPr>
      </w:pPr>
      <w:r>
        <w:rPr>
          <w:rFonts w:ascii="Arial" w:hAnsi="Arial" w:cs="Arial"/>
          <w:color w:val="000000" w:themeColor="text1"/>
          <w:sz w:val="24"/>
          <w:szCs w:val="24"/>
        </w:rPr>
        <w:lastRenderedPageBreak/>
        <w:t>5.5</w:t>
      </w:r>
      <w:r>
        <w:rPr>
          <w:rFonts w:ascii="Arial" w:hAnsi="Arial" w:cs="Arial"/>
          <w:color w:val="000000" w:themeColor="text1"/>
          <w:sz w:val="24"/>
          <w:szCs w:val="24"/>
        </w:rPr>
        <w:tab/>
        <w:t>The particularly large increase in the number of planning decisions for single wind turbines from 2012/13 onwards could be attributed to a drive by the DOE to prioritise decisions on all renewable energy applications.</w:t>
      </w:r>
    </w:p>
    <w:p w:rsidR="0063162B" w:rsidRDefault="0063162B" w:rsidP="00981F28">
      <w:pPr>
        <w:pStyle w:val="EndnoteText"/>
        <w:autoSpaceDE w:val="0"/>
        <w:autoSpaceDN w:val="0"/>
        <w:adjustRightInd w:val="0"/>
        <w:ind w:left="720" w:hanging="720"/>
        <w:jc w:val="both"/>
        <w:rPr>
          <w:rFonts w:ascii="Arial" w:hAnsi="Arial" w:cs="Arial"/>
          <w:color w:val="000000" w:themeColor="text1"/>
          <w:sz w:val="24"/>
          <w:szCs w:val="24"/>
        </w:rPr>
      </w:pPr>
    </w:p>
    <w:p w:rsidR="00981F28" w:rsidRPr="00D80D50" w:rsidRDefault="00AA7DCA" w:rsidP="00384661">
      <w:pPr>
        <w:pStyle w:val="EndnoteText"/>
        <w:autoSpaceDE w:val="0"/>
        <w:autoSpaceDN w:val="0"/>
        <w:adjustRightInd w:val="0"/>
        <w:ind w:left="720" w:hanging="720"/>
        <w:rPr>
          <w:rFonts w:ascii="Arial" w:hAnsi="Arial" w:cs="Arial"/>
          <w:color w:val="000000" w:themeColor="text1"/>
          <w:sz w:val="24"/>
          <w:szCs w:val="24"/>
        </w:rPr>
      </w:pPr>
      <w:r>
        <w:rPr>
          <w:rFonts w:ascii="Arial" w:hAnsi="Arial" w:cs="Arial"/>
          <w:color w:val="000000" w:themeColor="text1"/>
          <w:sz w:val="24"/>
          <w:szCs w:val="24"/>
        </w:rPr>
        <w:t>5.6</w:t>
      </w:r>
      <w:r w:rsidR="00981F28" w:rsidRPr="00D80D50">
        <w:rPr>
          <w:rFonts w:ascii="Arial" w:hAnsi="Arial" w:cs="Arial"/>
          <w:color w:val="000000" w:themeColor="text1"/>
          <w:sz w:val="24"/>
          <w:szCs w:val="24"/>
        </w:rPr>
        <w:tab/>
        <w:t>The chart above clearly shows the aforementioned steady level of decisions for wind energy from the financial year 2004/05 leading up until</w:t>
      </w:r>
      <w:r w:rsidR="00981F28">
        <w:rPr>
          <w:rFonts w:ascii="Arial" w:hAnsi="Arial" w:cs="Arial"/>
          <w:color w:val="000000" w:themeColor="text1"/>
          <w:sz w:val="24"/>
          <w:szCs w:val="24"/>
        </w:rPr>
        <w:t xml:space="preserve"> 2011/12,</w:t>
      </w:r>
      <w:r w:rsidR="00981F28" w:rsidRPr="00D80D50">
        <w:rPr>
          <w:rFonts w:ascii="Arial" w:hAnsi="Arial" w:cs="Arial"/>
          <w:color w:val="000000" w:themeColor="text1"/>
          <w:sz w:val="24"/>
          <w:szCs w:val="24"/>
        </w:rPr>
        <w:t xml:space="preserve"> </w:t>
      </w:r>
      <w:r w:rsidR="00981F28">
        <w:rPr>
          <w:rFonts w:ascii="Arial" w:hAnsi="Arial" w:cs="Arial"/>
          <w:color w:val="000000" w:themeColor="text1"/>
          <w:sz w:val="24"/>
          <w:szCs w:val="24"/>
        </w:rPr>
        <w:t xml:space="preserve">after which, </w:t>
      </w:r>
      <w:r w:rsidR="00981F28" w:rsidRPr="00D80D50">
        <w:rPr>
          <w:rFonts w:ascii="Arial" w:hAnsi="Arial" w:cs="Arial"/>
          <w:color w:val="000000" w:themeColor="text1"/>
          <w:sz w:val="24"/>
          <w:szCs w:val="24"/>
        </w:rPr>
        <w:t xml:space="preserve">numbers dramatically increased for the remainder of the period. </w:t>
      </w:r>
    </w:p>
    <w:p w:rsidR="00BC52DC" w:rsidRPr="00D80D50" w:rsidRDefault="00BC52DC" w:rsidP="0010213F">
      <w:pPr>
        <w:pStyle w:val="EndnoteText"/>
        <w:autoSpaceDE w:val="0"/>
        <w:autoSpaceDN w:val="0"/>
        <w:adjustRightInd w:val="0"/>
        <w:jc w:val="both"/>
        <w:rPr>
          <w:rFonts w:ascii="Arial" w:hAnsi="Arial" w:cs="Arial"/>
          <w:color w:val="000000" w:themeColor="text1"/>
          <w:sz w:val="24"/>
          <w:szCs w:val="24"/>
        </w:rPr>
      </w:pPr>
    </w:p>
    <w:p w:rsidR="009B69D4" w:rsidRPr="002307CD" w:rsidRDefault="00CB2860" w:rsidP="00CB2860">
      <w:pPr>
        <w:pStyle w:val="EndnoteText"/>
        <w:autoSpaceDE w:val="0"/>
        <w:autoSpaceDN w:val="0"/>
        <w:adjustRightInd w:val="0"/>
        <w:ind w:left="709" w:hanging="709"/>
        <w:jc w:val="both"/>
        <w:rPr>
          <w:rFonts w:ascii="Arial" w:hAnsi="Arial" w:cs="Arial"/>
          <w:b/>
          <w:sz w:val="22"/>
          <w:szCs w:val="22"/>
        </w:rPr>
      </w:pPr>
      <w:r w:rsidRPr="00D80D50">
        <w:rPr>
          <w:rFonts w:ascii="Arial" w:hAnsi="Arial" w:cs="Arial"/>
          <w:color w:val="000000" w:themeColor="text1"/>
          <w:sz w:val="24"/>
          <w:szCs w:val="24"/>
        </w:rPr>
        <w:tab/>
      </w:r>
      <w:r w:rsidR="00CF30DA" w:rsidRPr="002307CD">
        <w:rPr>
          <w:rFonts w:ascii="Arial" w:hAnsi="Arial" w:cs="Arial"/>
          <w:b/>
          <w:color w:val="000000" w:themeColor="text1"/>
          <w:sz w:val="22"/>
          <w:szCs w:val="22"/>
        </w:rPr>
        <w:t xml:space="preserve">Chart 2: </w:t>
      </w:r>
      <w:r w:rsidR="00473310" w:rsidRPr="002307CD">
        <w:rPr>
          <w:rFonts w:ascii="Arial" w:hAnsi="Arial" w:cs="Arial"/>
          <w:b/>
          <w:sz w:val="22"/>
          <w:szCs w:val="22"/>
        </w:rPr>
        <w:t xml:space="preserve">All Planning Decisions issued for single turbines and wind </w:t>
      </w:r>
    </w:p>
    <w:p w:rsidR="00CB2860" w:rsidRPr="002307CD" w:rsidRDefault="00473310" w:rsidP="0010213F">
      <w:pPr>
        <w:pStyle w:val="EndnoteText"/>
        <w:autoSpaceDE w:val="0"/>
        <w:autoSpaceDN w:val="0"/>
        <w:adjustRightInd w:val="0"/>
        <w:ind w:left="709"/>
        <w:jc w:val="both"/>
        <w:rPr>
          <w:rFonts w:ascii="Arial" w:hAnsi="Arial" w:cs="Arial"/>
          <w:b/>
          <w:color w:val="000000" w:themeColor="text1"/>
          <w:sz w:val="22"/>
          <w:szCs w:val="22"/>
        </w:rPr>
      </w:pPr>
      <w:proofErr w:type="gramStart"/>
      <w:r w:rsidRPr="002307CD">
        <w:rPr>
          <w:rFonts w:ascii="Arial" w:hAnsi="Arial" w:cs="Arial"/>
          <w:b/>
          <w:sz w:val="22"/>
          <w:szCs w:val="22"/>
        </w:rPr>
        <w:t>farms</w:t>
      </w:r>
      <w:proofErr w:type="gramEnd"/>
      <w:r w:rsidRPr="002307CD">
        <w:rPr>
          <w:rFonts w:ascii="Arial" w:hAnsi="Arial" w:cs="Arial"/>
          <w:b/>
          <w:sz w:val="22"/>
          <w:szCs w:val="22"/>
        </w:rPr>
        <w:t xml:space="preserve"> (combined) in Council Area (2004-2015)</w:t>
      </w:r>
    </w:p>
    <w:p w:rsidR="007F2D8D" w:rsidRPr="00D80D50" w:rsidRDefault="00473310" w:rsidP="0009574A">
      <w:pPr>
        <w:pStyle w:val="EndnoteText"/>
        <w:autoSpaceDE w:val="0"/>
        <w:autoSpaceDN w:val="0"/>
        <w:adjustRightInd w:val="0"/>
        <w:jc w:val="both"/>
        <w:rPr>
          <w:rFonts w:ascii="Arial" w:hAnsi="Arial" w:cs="Arial"/>
          <w:color w:val="000000" w:themeColor="text1"/>
          <w:sz w:val="24"/>
          <w:szCs w:val="24"/>
        </w:rPr>
      </w:pPr>
      <w:r w:rsidRPr="00D80D50">
        <w:rPr>
          <w:rFonts w:ascii="Arial" w:hAnsi="Arial" w:cs="Arial"/>
          <w:color w:val="000000" w:themeColor="text1"/>
          <w:sz w:val="24"/>
          <w:szCs w:val="24"/>
        </w:rPr>
        <w:tab/>
      </w:r>
    </w:p>
    <w:p w:rsidR="007F2D8D" w:rsidRPr="00D80D50" w:rsidRDefault="00D93FB3" w:rsidP="00473310">
      <w:pPr>
        <w:pStyle w:val="EndnoteText"/>
        <w:autoSpaceDE w:val="0"/>
        <w:autoSpaceDN w:val="0"/>
        <w:adjustRightInd w:val="0"/>
        <w:jc w:val="center"/>
        <w:rPr>
          <w:rFonts w:ascii="Arial" w:hAnsi="Arial" w:cs="Arial"/>
          <w:color w:val="000000" w:themeColor="text1"/>
          <w:sz w:val="24"/>
          <w:szCs w:val="24"/>
        </w:rPr>
      </w:pPr>
      <w:r w:rsidRPr="00D80D50">
        <w:rPr>
          <w:rFonts w:ascii="Arial" w:hAnsi="Arial" w:cs="Arial"/>
          <w:noProof/>
          <w:sz w:val="24"/>
          <w:szCs w:val="24"/>
          <w:lang w:eastAsia="en-GB"/>
        </w:rPr>
        <w:drawing>
          <wp:inline distT="0" distB="0" distL="0" distR="0" wp14:anchorId="3787BF33" wp14:editId="6DBEE4BC">
            <wp:extent cx="4624387" cy="2066925"/>
            <wp:effectExtent l="0" t="0" r="508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93FB3" w:rsidRPr="0051332A" w:rsidRDefault="00D93FB3" w:rsidP="00D93FB3">
      <w:pPr>
        <w:pStyle w:val="ListParagraph"/>
        <w:ind w:left="709"/>
        <w:rPr>
          <w:rFonts w:ascii="Arial" w:hAnsi="Arial" w:cs="Arial"/>
          <w:sz w:val="18"/>
          <w:szCs w:val="18"/>
        </w:rPr>
      </w:pPr>
      <w:r w:rsidRPr="00D80D50">
        <w:rPr>
          <w:rFonts w:ascii="Arial" w:hAnsi="Arial" w:cs="Arial"/>
          <w:color w:val="000000" w:themeColor="text1"/>
          <w:sz w:val="24"/>
          <w:szCs w:val="24"/>
        </w:rPr>
        <w:tab/>
      </w:r>
      <w:r w:rsidR="00045E9D">
        <w:rPr>
          <w:rFonts w:ascii="Arial" w:hAnsi="Arial" w:cs="Arial"/>
          <w:color w:val="000000" w:themeColor="text1"/>
          <w:sz w:val="24"/>
          <w:szCs w:val="24"/>
        </w:rPr>
        <w:t xml:space="preserve">  </w:t>
      </w:r>
      <w:r w:rsidR="005472B1">
        <w:rPr>
          <w:rFonts w:ascii="Arial" w:hAnsi="Arial" w:cs="Arial"/>
          <w:sz w:val="18"/>
          <w:szCs w:val="18"/>
        </w:rPr>
        <w:t>Source: Do</w:t>
      </w:r>
      <w:r w:rsidRPr="0051332A">
        <w:rPr>
          <w:rFonts w:ascii="Arial" w:hAnsi="Arial" w:cs="Arial"/>
          <w:sz w:val="18"/>
          <w:szCs w:val="18"/>
        </w:rPr>
        <w:t>E</w:t>
      </w:r>
      <w:r w:rsidR="0063162B">
        <w:rPr>
          <w:rFonts w:ascii="Arial" w:hAnsi="Arial" w:cs="Arial"/>
          <w:sz w:val="18"/>
          <w:szCs w:val="18"/>
        </w:rPr>
        <w:t xml:space="preserve"> 2015</w:t>
      </w:r>
    </w:p>
    <w:p w:rsidR="00E77A76" w:rsidRPr="00D80D50" w:rsidRDefault="00E77A76" w:rsidP="00E77A76">
      <w:pPr>
        <w:pStyle w:val="EndnoteText"/>
        <w:autoSpaceDE w:val="0"/>
        <w:autoSpaceDN w:val="0"/>
        <w:adjustRightInd w:val="0"/>
        <w:jc w:val="both"/>
        <w:rPr>
          <w:rFonts w:ascii="Arial" w:hAnsi="Arial" w:cs="Arial"/>
          <w:color w:val="000000" w:themeColor="text1"/>
          <w:sz w:val="24"/>
          <w:szCs w:val="24"/>
        </w:rPr>
      </w:pPr>
    </w:p>
    <w:p w:rsidR="00E273D5" w:rsidRDefault="00AA7DCA" w:rsidP="00384661">
      <w:pPr>
        <w:pStyle w:val="EndnoteText"/>
        <w:autoSpaceDE w:val="0"/>
        <w:autoSpaceDN w:val="0"/>
        <w:adjustRightInd w:val="0"/>
        <w:ind w:left="720" w:hanging="720"/>
        <w:rPr>
          <w:rFonts w:ascii="Arial" w:hAnsi="Arial" w:cs="Arial"/>
          <w:color w:val="000000" w:themeColor="text1"/>
          <w:sz w:val="24"/>
          <w:szCs w:val="24"/>
        </w:rPr>
      </w:pPr>
      <w:r>
        <w:rPr>
          <w:rFonts w:ascii="Arial" w:hAnsi="Arial" w:cs="Arial"/>
          <w:color w:val="000000" w:themeColor="text1"/>
          <w:sz w:val="24"/>
          <w:szCs w:val="24"/>
        </w:rPr>
        <w:t>5.7</w:t>
      </w:r>
      <w:r w:rsidR="00E77A76" w:rsidRPr="00D80D50">
        <w:rPr>
          <w:rFonts w:ascii="Arial" w:hAnsi="Arial" w:cs="Arial"/>
          <w:color w:val="000000" w:themeColor="text1"/>
          <w:sz w:val="24"/>
          <w:szCs w:val="24"/>
        </w:rPr>
        <w:tab/>
      </w:r>
      <w:r w:rsidR="00DC52CA" w:rsidRPr="00D80D50">
        <w:rPr>
          <w:rFonts w:ascii="Arial" w:hAnsi="Arial" w:cs="Arial"/>
          <w:color w:val="000000" w:themeColor="text1"/>
          <w:sz w:val="24"/>
          <w:szCs w:val="24"/>
        </w:rPr>
        <w:t xml:space="preserve">Whilst there were quite a number of approvals for wind energy in the council area, </w:t>
      </w:r>
      <w:r w:rsidR="00CD1BD3">
        <w:rPr>
          <w:rFonts w:ascii="Arial" w:hAnsi="Arial" w:cs="Arial"/>
          <w:color w:val="000000" w:themeColor="text1"/>
          <w:sz w:val="24"/>
          <w:szCs w:val="24"/>
        </w:rPr>
        <w:t>there is a lack of information regarding how many have been implemented</w:t>
      </w:r>
      <w:r w:rsidR="001B0891">
        <w:rPr>
          <w:rFonts w:ascii="Arial" w:hAnsi="Arial" w:cs="Arial"/>
          <w:color w:val="000000" w:themeColor="text1"/>
          <w:sz w:val="24"/>
          <w:szCs w:val="24"/>
        </w:rPr>
        <w:t xml:space="preserve">. </w:t>
      </w:r>
      <w:r w:rsidR="00686375" w:rsidRPr="00D80D50">
        <w:rPr>
          <w:rFonts w:ascii="Arial" w:hAnsi="Arial" w:cs="Arial"/>
          <w:color w:val="000000" w:themeColor="text1"/>
          <w:sz w:val="24"/>
          <w:szCs w:val="24"/>
        </w:rPr>
        <w:t xml:space="preserve">It </w:t>
      </w:r>
      <w:r w:rsidR="001B0891">
        <w:rPr>
          <w:rFonts w:ascii="Arial" w:hAnsi="Arial" w:cs="Arial"/>
          <w:color w:val="000000" w:themeColor="text1"/>
          <w:sz w:val="24"/>
          <w:szCs w:val="24"/>
        </w:rPr>
        <w:t>should be noted that</w:t>
      </w:r>
      <w:r w:rsidR="00686375" w:rsidRPr="00D80D50">
        <w:rPr>
          <w:rFonts w:ascii="Arial" w:hAnsi="Arial" w:cs="Arial"/>
          <w:color w:val="000000" w:themeColor="text1"/>
          <w:sz w:val="24"/>
          <w:szCs w:val="24"/>
        </w:rPr>
        <w:t xml:space="preserve"> a number</w:t>
      </w:r>
      <w:r w:rsidR="001B0891">
        <w:rPr>
          <w:rFonts w:ascii="Arial" w:hAnsi="Arial" w:cs="Arial"/>
          <w:color w:val="000000" w:themeColor="text1"/>
          <w:sz w:val="24"/>
          <w:szCs w:val="24"/>
        </w:rPr>
        <w:t xml:space="preserve"> of</w:t>
      </w:r>
      <w:r w:rsidR="00686375" w:rsidRPr="00D80D50">
        <w:rPr>
          <w:rFonts w:ascii="Arial" w:hAnsi="Arial" w:cs="Arial"/>
          <w:color w:val="000000" w:themeColor="text1"/>
          <w:sz w:val="24"/>
          <w:szCs w:val="24"/>
        </w:rPr>
        <w:t xml:space="preserve"> historic</w:t>
      </w:r>
      <w:r w:rsidR="001B0891">
        <w:rPr>
          <w:rFonts w:ascii="Arial" w:hAnsi="Arial" w:cs="Arial"/>
          <w:color w:val="000000" w:themeColor="text1"/>
          <w:sz w:val="24"/>
          <w:szCs w:val="24"/>
        </w:rPr>
        <w:t xml:space="preserve"> planning permissions may</w:t>
      </w:r>
      <w:r w:rsidR="00686375" w:rsidRPr="00D80D50">
        <w:rPr>
          <w:rFonts w:ascii="Arial" w:hAnsi="Arial" w:cs="Arial"/>
          <w:color w:val="000000" w:themeColor="text1"/>
          <w:sz w:val="24"/>
          <w:szCs w:val="24"/>
        </w:rPr>
        <w:t xml:space="preserve"> have lapsed, and will no longer be eligible to be enacted unless previously commenced. </w:t>
      </w:r>
    </w:p>
    <w:p w:rsidR="00853F5B" w:rsidRDefault="00853F5B" w:rsidP="00384661">
      <w:pPr>
        <w:pStyle w:val="EndnoteText"/>
        <w:autoSpaceDE w:val="0"/>
        <w:autoSpaceDN w:val="0"/>
        <w:adjustRightInd w:val="0"/>
        <w:ind w:left="720" w:hanging="720"/>
        <w:rPr>
          <w:rFonts w:ascii="Arial" w:hAnsi="Arial" w:cs="Arial"/>
          <w:color w:val="000000" w:themeColor="text1"/>
          <w:sz w:val="24"/>
          <w:szCs w:val="24"/>
        </w:rPr>
      </w:pPr>
    </w:p>
    <w:p w:rsidR="007F2D8D" w:rsidRPr="00E273D5" w:rsidRDefault="00B64CEA" w:rsidP="00384661">
      <w:pPr>
        <w:pStyle w:val="EndnoteText"/>
        <w:autoSpaceDE w:val="0"/>
        <w:autoSpaceDN w:val="0"/>
        <w:adjustRightInd w:val="0"/>
        <w:ind w:left="720"/>
        <w:rPr>
          <w:rFonts w:ascii="Arial" w:hAnsi="Arial" w:cs="Arial"/>
          <w:color w:val="000000" w:themeColor="text1"/>
          <w:sz w:val="24"/>
          <w:szCs w:val="24"/>
        </w:rPr>
      </w:pPr>
      <w:r w:rsidRPr="00D80D50">
        <w:rPr>
          <w:rFonts w:ascii="Arial" w:hAnsi="Arial" w:cs="Arial"/>
          <w:b/>
          <w:color w:val="000000" w:themeColor="text1"/>
          <w:sz w:val="24"/>
          <w:szCs w:val="24"/>
        </w:rPr>
        <w:t xml:space="preserve">Distribution </w:t>
      </w:r>
      <w:r w:rsidR="00627FDB" w:rsidRPr="00D80D50">
        <w:rPr>
          <w:rFonts w:ascii="Arial" w:hAnsi="Arial" w:cs="Arial"/>
          <w:b/>
          <w:color w:val="000000" w:themeColor="text1"/>
          <w:sz w:val="24"/>
          <w:szCs w:val="24"/>
        </w:rPr>
        <w:t>of wind energy</w:t>
      </w:r>
      <w:r w:rsidRPr="00D80D50">
        <w:rPr>
          <w:rFonts w:ascii="Arial" w:hAnsi="Arial" w:cs="Arial"/>
          <w:b/>
          <w:color w:val="000000" w:themeColor="text1"/>
          <w:sz w:val="24"/>
          <w:szCs w:val="24"/>
        </w:rPr>
        <w:t xml:space="preserve"> decisions</w:t>
      </w:r>
    </w:p>
    <w:p w:rsidR="00EB1E52" w:rsidRPr="00D80D50" w:rsidRDefault="00EB1E52" w:rsidP="00384661">
      <w:pPr>
        <w:pStyle w:val="EndnoteText"/>
        <w:autoSpaceDE w:val="0"/>
        <w:autoSpaceDN w:val="0"/>
        <w:adjustRightInd w:val="0"/>
        <w:ind w:left="720"/>
        <w:rPr>
          <w:rFonts w:ascii="Arial" w:hAnsi="Arial" w:cs="Arial"/>
          <w:b/>
          <w:color w:val="000000" w:themeColor="text1"/>
          <w:sz w:val="24"/>
          <w:szCs w:val="24"/>
        </w:rPr>
      </w:pPr>
    </w:p>
    <w:p w:rsidR="00F53E21" w:rsidRPr="00D80D50" w:rsidRDefault="00AA7DCA" w:rsidP="00384661">
      <w:pPr>
        <w:pStyle w:val="EndnoteText"/>
        <w:autoSpaceDE w:val="0"/>
        <w:autoSpaceDN w:val="0"/>
        <w:adjustRightInd w:val="0"/>
        <w:ind w:left="720" w:hanging="720"/>
        <w:rPr>
          <w:rFonts w:ascii="Arial" w:hAnsi="Arial" w:cs="Arial"/>
          <w:color w:val="000000" w:themeColor="text1"/>
          <w:sz w:val="24"/>
          <w:szCs w:val="24"/>
        </w:rPr>
      </w:pPr>
      <w:r>
        <w:rPr>
          <w:rFonts w:ascii="Arial" w:hAnsi="Arial" w:cs="Arial"/>
          <w:color w:val="000000" w:themeColor="text1"/>
          <w:sz w:val="24"/>
          <w:szCs w:val="24"/>
        </w:rPr>
        <w:t>5.8</w:t>
      </w:r>
      <w:r w:rsidR="001F7882" w:rsidRPr="00D80D50">
        <w:rPr>
          <w:rFonts w:ascii="Arial" w:hAnsi="Arial" w:cs="Arial"/>
          <w:color w:val="000000" w:themeColor="text1"/>
          <w:sz w:val="24"/>
          <w:szCs w:val="24"/>
        </w:rPr>
        <w:tab/>
        <w:t xml:space="preserve">Throughout Fermanagh and Omagh district council </w:t>
      </w:r>
      <w:r w:rsidR="00C41BBA">
        <w:rPr>
          <w:rFonts w:ascii="Arial" w:hAnsi="Arial" w:cs="Arial"/>
          <w:color w:val="000000" w:themeColor="text1"/>
          <w:sz w:val="24"/>
          <w:szCs w:val="24"/>
        </w:rPr>
        <w:t xml:space="preserve">area </w:t>
      </w:r>
      <w:r w:rsidR="001F7882" w:rsidRPr="00D80D50">
        <w:rPr>
          <w:rFonts w:ascii="Arial" w:hAnsi="Arial" w:cs="Arial"/>
          <w:color w:val="000000" w:themeColor="text1"/>
          <w:sz w:val="24"/>
          <w:szCs w:val="24"/>
        </w:rPr>
        <w:t>there are a</w:t>
      </w:r>
      <w:r w:rsidR="00C41BBA">
        <w:rPr>
          <w:rFonts w:ascii="Arial" w:hAnsi="Arial" w:cs="Arial"/>
          <w:color w:val="000000" w:themeColor="text1"/>
          <w:sz w:val="24"/>
          <w:szCs w:val="24"/>
        </w:rPr>
        <w:t xml:space="preserve"> number of </w:t>
      </w:r>
      <w:r w:rsidR="00C41BBA" w:rsidRPr="00D80D50">
        <w:rPr>
          <w:rFonts w:ascii="Arial" w:hAnsi="Arial" w:cs="Arial"/>
          <w:color w:val="000000" w:themeColor="text1"/>
          <w:sz w:val="24"/>
          <w:szCs w:val="24"/>
        </w:rPr>
        <w:t>variations</w:t>
      </w:r>
      <w:r w:rsidR="001F7882" w:rsidRPr="00D80D50">
        <w:rPr>
          <w:rFonts w:ascii="Arial" w:hAnsi="Arial" w:cs="Arial"/>
          <w:color w:val="000000" w:themeColor="text1"/>
          <w:sz w:val="24"/>
          <w:szCs w:val="24"/>
        </w:rPr>
        <w:t xml:space="preserve"> in </w:t>
      </w:r>
      <w:r w:rsidR="00C41BBA">
        <w:rPr>
          <w:rFonts w:ascii="Arial" w:hAnsi="Arial" w:cs="Arial"/>
          <w:color w:val="000000" w:themeColor="text1"/>
          <w:sz w:val="24"/>
          <w:szCs w:val="24"/>
        </w:rPr>
        <w:t>the distribution of wind energy</w:t>
      </w:r>
      <w:r w:rsidR="001F7882" w:rsidRPr="00D80D50">
        <w:rPr>
          <w:rFonts w:ascii="Arial" w:hAnsi="Arial" w:cs="Arial"/>
          <w:color w:val="000000" w:themeColor="text1"/>
          <w:sz w:val="24"/>
          <w:szCs w:val="24"/>
        </w:rPr>
        <w:t xml:space="preserve"> (Map 4). There is a visibly higher concentration </w:t>
      </w:r>
      <w:r w:rsidR="00E273D5">
        <w:rPr>
          <w:rFonts w:ascii="Arial" w:hAnsi="Arial" w:cs="Arial"/>
          <w:color w:val="000000" w:themeColor="text1"/>
          <w:sz w:val="24"/>
          <w:szCs w:val="24"/>
        </w:rPr>
        <w:t xml:space="preserve">of wind energy development </w:t>
      </w:r>
      <w:r w:rsidR="005472B1">
        <w:rPr>
          <w:rFonts w:ascii="Arial" w:hAnsi="Arial" w:cs="Arial"/>
          <w:color w:val="000000" w:themeColor="text1"/>
          <w:sz w:val="24"/>
          <w:szCs w:val="24"/>
        </w:rPr>
        <w:t>in the legacy</w:t>
      </w:r>
      <w:r w:rsidR="001F7882" w:rsidRPr="00D80D50">
        <w:rPr>
          <w:rFonts w:ascii="Arial" w:hAnsi="Arial" w:cs="Arial"/>
          <w:color w:val="000000" w:themeColor="text1"/>
          <w:sz w:val="24"/>
          <w:szCs w:val="24"/>
        </w:rPr>
        <w:t xml:space="preserve"> Omagh</w:t>
      </w:r>
      <w:r w:rsidR="00E063F5">
        <w:rPr>
          <w:rFonts w:ascii="Arial" w:hAnsi="Arial" w:cs="Arial"/>
          <w:color w:val="000000" w:themeColor="text1"/>
          <w:sz w:val="24"/>
          <w:szCs w:val="24"/>
        </w:rPr>
        <w:t xml:space="preserve"> Council</w:t>
      </w:r>
      <w:r w:rsidR="001F7882" w:rsidRPr="00D80D50">
        <w:rPr>
          <w:rFonts w:ascii="Arial" w:hAnsi="Arial" w:cs="Arial"/>
          <w:color w:val="000000" w:themeColor="text1"/>
          <w:sz w:val="24"/>
          <w:szCs w:val="24"/>
        </w:rPr>
        <w:t xml:space="preserve"> area</w:t>
      </w:r>
      <w:r w:rsidR="00E273D5">
        <w:rPr>
          <w:rFonts w:ascii="Arial" w:hAnsi="Arial" w:cs="Arial"/>
          <w:color w:val="000000" w:themeColor="text1"/>
          <w:sz w:val="24"/>
          <w:szCs w:val="24"/>
        </w:rPr>
        <w:t xml:space="preserve"> and to a slightly lesser extent </w:t>
      </w:r>
      <w:r w:rsidR="005472B1">
        <w:rPr>
          <w:rFonts w:ascii="Arial" w:hAnsi="Arial" w:cs="Arial"/>
          <w:color w:val="000000" w:themeColor="text1"/>
          <w:sz w:val="24"/>
          <w:szCs w:val="24"/>
        </w:rPr>
        <w:t xml:space="preserve">in </w:t>
      </w:r>
      <w:r w:rsidR="00E273D5">
        <w:rPr>
          <w:rFonts w:ascii="Arial" w:hAnsi="Arial" w:cs="Arial"/>
          <w:color w:val="000000" w:themeColor="text1"/>
          <w:sz w:val="24"/>
          <w:szCs w:val="24"/>
        </w:rPr>
        <w:t>the northern portion of Fermanagh</w:t>
      </w:r>
      <w:r w:rsidR="005472B1">
        <w:rPr>
          <w:rFonts w:ascii="Arial" w:hAnsi="Arial" w:cs="Arial"/>
          <w:color w:val="000000" w:themeColor="text1"/>
          <w:sz w:val="24"/>
          <w:szCs w:val="24"/>
        </w:rPr>
        <w:t>. In contrast, the remainder</w:t>
      </w:r>
      <w:r w:rsidR="008B4ABE">
        <w:rPr>
          <w:rFonts w:ascii="Arial" w:hAnsi="Arial" w:cs="Arial"/>
          <w:color w:val="000000" w:themeColor="text1"/>
          <w:sz w:val="24"/>
          <w:szCs w:val="24"/>
        </w:rPr>
        <w:t xml:space="preserve"> </w:t>
      </w:r>
      <w:r w:rsidR="005472B1">
        <w:rPr>
          <w:rFonts w:ascii="Arial" w:hAnsi="Arial" w:cs="Arial"/>
          <w:color w:val="000000" w:themeColor="text1"/>
          <w:sz w:val="24"/>
          <w:szCs w:val="24"/>
        </w:rPr>
        <w:t xml:space="preserve">of Fermanagh has </w:t>
      </w:r>
      <w:r w:rsidR="008B4ABE">
        <w:rPr>
          <w:rFonts w:ascii="Arial" w:hAnsi="Arial" w:cs="Arial"/>
          <w:color w:val="000000" w:themeColor="text1"/>
          <w:sz w:val="24"/>
          <w:szCs w:val="24"/>
        </w:rPr>
        <w:t>a low concentration</w:t>
      </w:r>
      <w:r w:rsidR="005472B1">
        <w:rPr>
          <w:rFonts w:ascii="Arial" w:hAnsi="Arial" w:cs="Arial"/>
          <w:color w:val="000000" w:themeColor="text1"/>
          <w:sz w:val="24"/>
          <w:szCs w:val="24"/>
        </w:rPr>
        <w:t xml:space="preserve"> of wind energy development</w:t>
      </w:r>
      <w:r w:rsidR="001F7882" w:rsidRPr="00D80D50">
        <w:rPr>
          <w:rFonts w:ascii="Arial" w:hAnsi="Arial" w:cs="Arial"/>
          <w:color w:val="000000" w:themeColor="text1"/>
          <w:sz w:val="24"/>
          <w:szCs w:val="24"/>
        </w:rPr>
        <w:t xml:space="preserve">. This applies equally to single wind turbines and to wind farms. </w:t>
      </w:r>
      <w:r w:rsidR="00E063F5">
        <w:rPr>
          <w:rFonts w:ascii="Arial" w:hAnsi="Arial" w:cs="Arial"/>
          <w:color w:val="000000" w:themeColor="text1"/>
          <w:sz w:val="24"/>
          <w:szCs w:val="24"/>
        </w:rPr>
        <w:t>There is a greater concentration of single wind turbines in the Omagh area than in Fermanagh.</w:t>
      </w:r>
      <w:r w:rsidR="00C41BBA">
        <w:rPr>
          <w:rFonts w:ascii="Arial" w:hAnsi="Arial" w:cs="Arial"/>
          <w:color w:val="000000" w:themeColor="text1"/>
          <w:sz w:val="24"/>
          <w:szCs w:val="24"/>
        </w:rPr>
        <w:t xml:space="preserve"> </w:t>
      </w:r>
    </w:p>
    <w:p w:rsidR="00F53E21" w:rsidRPr="00D80D50" w:rsidRDefault="00F53E21" w:rsidP="00384661">
      <w:pPr>
        <w:pStyle w:val="EndnoteText"/>
        <w:autoSpaceDE w:val="0"/>
        <w:autoSpaceDN w:val="0"/>
        <w:adjustRightInd w:val="0"/>
        <w:ind w:left="720" w:hanging="720"/>
        <w:rPr>
          <w:rFonts w:ascii="Arial" w:hAnsi="Arial" w:cs="Arial"/>
          <w:color w:val="000000" w:themeColor="text1"/>
          <w:sz w:val="24"/>
          <w:szCs w:val="24"/>
        </w:rPr>
      </w:pPr>
    </w:p>
    <w:p w:rsidR="00C41BBA" w:rsidRDefault="00AA7DCA" w:rsidP="00384661">
      <w:pPr>
        <w:pStyle w:val="EndnoteText"/>
        <w:autoSpaceDE w:val="0"/>
        <w:autoSpaceDN w:val="0"/>
        <w:adjustRightInd w:val="0"/>
        <w:ind w:left="720" w:hanging="720"/>
        <w:rPr>
          <w:rFonts w:ascii="Arial" w:hAnsi="Arial" w:cs="Arial"/>
          <w:color w:val="000000" w:themeColor="text1"/>
          <w:sz w:val="24"/>
          <w:szCs w:val="24"/>
        </w:rPr>
      </w:pPr>
      <w:r>
        <w:rPr>
          <w:rFonts w:ascii="Arial" w:hAnsi="Arial" w:cs="Arial"/>
          <w:color w:val="000000" w:themeColor="text1"/>
          <w:sz w:val="24"/>
          <w:szCs w:val="24"/>
        </w:rPr>
        <w:t>5.9</w:t>
      </w:r>
      <w:r w:rsidR="00F53E21" w:rsidRPr="00D80D50">
        <w:rPr>
          <w:rFonts w:ascii="Arial" w:hAnsi="Arial" w:cs="Arial"/>
          <w:color w:val="000000" w:themeColor="text1"/>
          <w:sz w:val="24"/>
          <w:szCs w:val="24"/>
        </w:rPr>
        <w:tab/>
      </w:r>
      <w:r w:rsidR="00650E23" w:rsidRPr="00D80D50">
        <w:rPr>
          <w:rFonts w:ascii="Arial" w:hAnsi="Arial" w:cs="Arial"/>
          <w:color w:val="000000" w:themeColor="text1"/>
          <w:sz w:val="24"/>
          <w:szCs w:val="24"/>
        </w:rPr>
        <w:t>There is a fairly even spread of single wind turbines throughout the Omagh high land</w:t>
      </w:r>
      <w:r w:rsidR="00F53E21" w:rsidRPr="00D80D50">
        <w:rPr>
          <w:rFonts w:ascii="Arial" w:hAnsi="Arial" w:cs="Arial"/>
          <w:color w:val="000000" w:themeColor="text1"/>
          <w:sz w:val="24"/>
          <w:szCs w:val="24"/>
        </w:rPr>
        <w:t>s</w:t>
      </w:r>
      <w:r w:rsidR="00650E23" w:rsidRPr="00D80D50">
        <w:rPr>
          <w:rFonts w:ascii="Arial" w:hAnsi="Arial" w:cs="Arial"/>
          <w:color w:val="000000" w:themeColor="text1"/>
          <w:sz w:val="24"/>
          <w:szCs w:val="24"/>
        </w:rPr>
        <w:t xml:space="preserve"> and low land</w:t>
      </w:r>
      <w:r w:rsidR="00F53E21" w:rsidRPr="00D80D50">
        <w:rPr>
          <w:rFonts w:ascii="Arial" w:hAnsi="Arial" w:cs="Arial"/>
          <w:color w:val="000000" w:themeColor="text1"/>
          <w:sz w:val="24"/>
          <w:szCs w:val="24"/>
        </w:rPr>
        <w:t>s</w:t>
      </w:r>
      <w:r w:rsidR="00650E23" w:rsidRPr="00D80D50">
        <w:rPr>
          <w:rFonts w:ascii="Arial" w:hAnsi="Arial" w:cs="Arial"/>
          <w:color w:val="000000" w:themeColor="text1"/>
          <w:sz w:val="24"/>
          <w:szCs w:val="24"/>
        </w:rPr>
        <w:t xml:space="preserve">. The wind farms are more often associated with land above 200m in elevation (for example Pigeon Top, Bessy Bell) in the historic Omagh DC area. In the historic Fermanagh DC area </w:t>
      </w:r>
      <w:r w:rsidR="00E273D5">
        <w:rPr>
          <w:rFonts w:ascii="Arial" w:hAnsi="Arial" w:cs="Arial"/>
          <w:color w:val="000000" w:themeColor="text1"/>
          <w:sz w:val="24"/>
          <w:szCs w:val="24"/>
        </w:rPr>
        <w:t>wind farms are generally</w:t>
      </w:r>
      <w:r w:rsidR="00650E23" w:rsidRPr="00D80D50">
        <w:rPr>
          <w:rFonts w:ascii="Arial" w:hAnsi="Arial" w:cs="Arial"/>
          <w:color w:val="000000" w:themeColor="text1"/>
          <w:sz w:val="24"/>
          <w:szCs w:val="24"/>
        </w:rPr>
        <w:t xml:space="preserve"> less prevalent however they are usually associated with higher land along the south western bo</w:t>
      </w:r>
      <w:r w:rsidR="00C41BBA">
        <w:rPr>
          <w:rFonts w:ascii="Arial" w:hAnsi="Arial" w:cs="Arial"/>
          <w:color w:val="000000" w:themeColor="text1"/>
          <w:sz w:val="24"/>
          <w:szCs w:val="24"/>
        </w:rPr>
        <w:t>undary of the district council.</w:t>
      </w:r>
    </w:p>
    <w:p w:rsidR="00C41BBA" w:rsidRDefault="00C41BBA" w:rsidP="00384661">
      <w:pPr>
        <w:pStyle w:val="EndnoteText"/>
        <w:autoSpaceDE w:val="0"/>
        <w:autoSpaceDN w:val="0"/>
        <w:adjustRightInd w:val="0"/>
        <w:ind w:left="720" w:hanging="720"/>
        <w:rPr>
          <w:rFonts w:ascii="Arial" w:hAnsi="Arial" w:cs="Arial"/>
          <w:color w:val="000000" w:themeColor="text1"/>
          <w:sz w:val="24"/>
          <w:szCs w:val="24"/>
        </w:rPr>
      </w:pPr>
    </w:p>
    <w:p w:rsidR="00AE472D" w:rsidRPr="00D80D50" w:rsidRDefault="00AA7DCA" w:rsidP="00384661">
      <w:pPr>
        <w:pStyle w:val="EndnoteText"/>
        <w:autoSpaceDE w:val="0"/>
        <w:autoSpaceDN w:val="0"/>
        <w:adjustRightInd w:val="0"/>
        <w:ind w:left="720" w:hanging="720"/>
        <w:rPr>
          <w:rFonts w:ascii="Arial" w:hAnsi="Arial" w:cs="Arial"/>
          <w:color w:val="000000" w:themeColor="text1"/>
          <w:sz w:val="24"/>
          <w:szCs w:val="24"/>
        </w:rPr>
      </w:pPr>
      <w:r>
        <w:rPr>
          <w:rFonts w:ascii="Arial" w:hAnsi="Arial" w:cs="Arial"/>
          <w:color w:val="000000" w:themeColor="text1"/>
          <w:sz w:val="24"/>
          <w:szCs w:val="24"/>
        </w:rPr>
        <w:lastRenderedPageBreak/>
        <w:t>5.10</w:t>
      </w:r>
      <w:r w:rsidR="00C41BBA">
        <w:rPr>
          <w:rFonts w:ascii="Arial" w:hAnsi="Arial" w:cs="Arial"/>
          <w:color w:val="000000" w:themeColor="text1"/>
          <w:sz w:val="24"/>
          <w:szCs w:val="24"/>
        </w:rPr>
        <w:tab/>
      </w:r>
      <w:r w:rsidR="00AE472D" w:rsidRPr="00D80D50">
        <w:rPr>
          <w:rFonts w:ascii="Arial" w:hAnsi="Arial" w:cs="Arial"/>
          <w:color w:val="000000" w:themeColor="text1"/>
          <w:sz w:val="24"/>
          <w:szCs w:val="24"/>
        </w:rPr>
        <w:t xml:space="preserve">The </w:t>
      </w:r>
      <w:r w:rsidR="00E7746A">
        <w:rPr>
          <w:rFonts w:ascii="Arial" w:hAnsi="Arial" w:cs="Arial"/>
          <w:color w:val="000000" w:themeColor="text1"/>
          <w:sz w:val="24"/>
          <w:szCs w:val="24"/>
        </w:rPr>
        <w:t>presence</w:t>
      </w:r>
      <w:r w:rsidR="00AE472D" w:rsidRPr="00D80D50">
        <w:rPr>
          <w:rFonts w:ascii="Arial" w:hAnsi="Arial" w:cs="Arial"/>
          <w:color w:val="000000" w:themeColor="text1"/>
          <w:sz w:val="24"/>
          <w:szCs w:val="24"/>
        </w:rPr>
        <w:t xml:space="preserve"> of the AONB in the north east of the council area, and </w:t>
      </w:r>
      <w:r w:rsidR="00CD1BD3">
        <w:rPr>
          <w:rFonts w:ascii="Arial" w:hAnsi="Arial" w:cs="Arial"/>
          <w:color w:val="000000" w:themeColor="text1"/>
          <w:sz w:val="24"/>
          <w:szCs w:val="24"/>
        </w:rPr>
        <w:t xml:space="preserve">international </w:t>
      </w:r>
      <w:r w:rsidR="001C0494">
        <w:rPr>
          <w:rFonts w:ascii="Arial" w:hAnsi="Arial" w:cs="Arial"/>
          <w:color w:val="000000" w:themeColor="text1"/>
          <w:sz w:val="24"/>
          <w:szCs w:val="24"/>
        </w:rPr>
        <w:t>e</w:t>
      </w:r>
      <w:r w:rsidR="00AE472D" w:rsidRPr="00D80D50">
        <w:rPr>
          <w:rFonts w:ascii="Arial" w:hAnsi="Arial" w:cs="Arial"/>
          <w:color w:val="000000" w:themeColor="text1"/>
          <w:sz w:val="24"/>
          <w:szCs w:val="24"/>
        </w:rPr>
        <w:t xml:space="preserve">nvironmental designations throughout the council area generally, have influenced wind energy </w:t>
      </w:r>
      <w:r w:rsidR="00E7746A">
        <w:rPr>
          <w:rFonts w:ascii="Arial" w:hAnsi="Arial" w:cs="Arial"/>
          <w:color w:val="000000" w:themeColor="text1"/>
          <w:sz w:val="24"/>
          <w:szCs w:val="24"/>
        </w:rPr>
        <w:t xml:space="preserve">distribution </w:t>
      </w:r>
      <w:r w:rsidR="00213384" w:rsidRPr="00D80D50">
        <w:rPr>
          <w:rFonts w:ascii="Arial" w:hAnsi="Arial" w:cs="Arial"/>
          <w:color w:val="000000" w:themeColor="text1"/>
          <w:sz w:val="24"/>
          <w:szCs w:val="24"/>
        </w:rPr>
        <w:t>(</w:t>
      </w:r>
      <w:r w:rsidR="00E7746A">
        <w:rPr>
          <w:rFonts w:ascii="Arial" w:hAnsi="Arial" w:cs="Arial"/>
          <w:color w:val="000000" w:themeColor="text1"/>
          <w:sz w:val="24"/>
          <w:szCs w:val="24"/>
        </w:rPr>
        <w:t>M</w:t>
      </w:r>
      <w:r w:rsidR="00213384" w:rsidRPr="00D80D50">
        <w:rPr>
          <w:rFonts w:ascii="Arial" w:hAnsi="Arial" w:cs="Arial"/>
          <w:color w:val="000000" w:themeColor="text1"/>
          <w:sz w:val="24"/>
          <w:szCs w:val="24"/>
        </w:rPr>
        <w:t>aps 3, 4 &amp; 5)</w:t>
      </w:r>
      <w:r w:rsidR="00CD584B" w:rsidRPr="00D80D50">
        <w:rPr>
          <w:rFonts w:ascii="Arial" w:hAnsi="Arial" w:cs="Arial"/>
          <w:color w:val="000000" w:themeColor="text1"/>
          <w:sz w:val="24"/>
          <w:szCs w:val="24"/>
        </w:rPr>
        <w:t xml:space="preserve">. </w:t>
      </w:r>
    </w:p>
    <w:p w:rsidR="00BA35BE" w:rsidRPr="00D80D50" w:rsidRDefault="00BA35BE" w:rsidP="00384661">
      <w:pPr>
        <w:pStyle w:val="EndnoteText"/>
        <w:autoSpaceDE w:val="0"/>
        <w:autoSpaceDN w:val="0"/>
        <w:adjustRightInd w:val="0"/>
        <w:ind w:left="720" w:hanging="720"/>
        <w:rPr>
          <w:rFonts w:ascii="Arial" w:hAnsi="Arial" w:cs="Arial"/>
          <w:color w:val="000000" w:themeColor="text1"/>
          <w:sz w:val="24"/>
          <w:szCs w:val="24"/>
        </w:rPr>
      </w:pPr>
    </w:p>
    <w:p w:rsidR="00A677D3" w:rsidRDefault="00AA7DCA" w:rsidP="00384661">
      <w:pPr>
        <w:pStyle w:val="EndnoteText"/>
        <w:autoSpaceDE w:val="0"/>
        <w:autoSpaceDN w:val="0"/>
        <w:adjustRightInd w:val="0"/>
        <w:ind w:left="720" w:hanging="720"/>
        <w:rPr>
          <w:rFonts w:ascii="Arial" w:hAnsi="Arial" w:cs="Arial"/>
          <w:color w:val="000000" w:themeColor="text1"/>
          <w:sz w:val="24"/>
          <w:szCs w:val="24"/>
        </w:rPr>
      </w:pPr>
      <w:r>
        <w:rPr>
          <w:rFonts w:ascii="Arial" w:hAnsi="Arial" w:cs="Arial"/>
          <w:color w:val="000000" w:themeColor="text1"/>
          <w:sz w:val="24"/>
          <w:szCs w:val="24"/>
        </w:rPr>
        <w:t>5.11</w:t>
      </w:r>
      <w:r w:rsidR="00BA35BE" w:rsidRPr="00D80D50">
        <w:rPr>
          <w:rFonts w:ascii="Arial" w:hAnsi="Arial" w:cs="Arial"/>
          <w:color w:val="000000" w:themeColor="text1"/>
          <w:sz w:val="24"/>
          <w:szCs w:val="24"/>
        </w:rPr>
        <w:tab/>
      </w:r>
      <w:r w:rsidR="000D042F">
        <w:rPr>
          <w:rFonts w:ascii="Arial" w:hAnsi="Arial" w:cs="Arial"/>
          <w:color w:val="000000" w:themeColor="text1"/>
          <w:sz w:val="24"/>
          <w:szCs w:val="24"/>
        </w:rPr>
        <w:t>Accessibility and forestry</w:t>
      </w:r>
      <w:r w:rsidR="007A0746">
        <w:rPr>
          <w:rFonts w:ascii="Arial" w:hAnsi="Arial" w:cs="Arial"/>
          <w:color w:val="000000" w:themeColor="text1"/>
          <w:sz w:val="24"/>
          <w:szCs w:val="24"/>
        </w:rPr>
        <w:t xml:space="preserve"> plantations</w:t>
      </w:r>
      <w:r w:rsidR="00BA35BE" w:rsidRPr="00D80D50">
        <w:rPr>
          <w:rFonts w:ascii="Arial" w:hAnsi="Arial" w:cs="Arial"/>
          <w:color w:val="000000" w:themeColor="text1"/>
          <w:sz w:val="24"/>
          <w:szCs w:val="24"/>
        </w:rPr>
        <w:t xml:space="preserve"> may have </w:t>
      </w:r>
      <w:r w:rsidR="00977540">
        <w:rPr>
          <w:rFonts w:ascii="Arial" w:hAnsi="Arial" w:cs="Arial"/>
          <w:color w:val="000000" w:themeColor="text1"/>
          <w:sz w:val="24"/>
          <w:szCs w:val="24"/>
        </w:rPr>
        <w:t>been a further limiting factor in</w:t>
      </w:r>
      <w:r w:rsidR="00BA35BE" w:rsidRPr="00D80D50">
        <w:rPr>
          <w:rFonts w:ascii="Arial" w:hAnsi="Arial" w:cs="Arial"/>
          <w:color w:val="000000" w:themeColor="text1"/>
          <w:sz w:val="24"/>
          <w:szCs w:val="24"/>
        </w:rPr>
        <w:t xml:space="preserve"> </w:t>
      </w:r>
      <w:r w:rsidR="000D042F">
        <w:rPr>
          <w:rFonts w:ascii="Arial" w:hAnsi="Arial" w:cs="Arial"/>
          <w:color w:val="000000" w:themeColor="text1"/>
          <w:sz w:val="24"/>
          <w:szCs w:val="24"/>
        </w:rPr>
        <w:t>the distribution of wind energy development</w:t>
      </w:r>
      <w:r w:rsidR="00BA35BE" w:rsidRPr="00D80D50">
        <w:rPr>
          <w:rFonts w:ascii="Arial" w:hAnsi="Arial" w:cs="Arial"/>
          <w:color w:val="000000" w:themeColor="text1"/>
          <w:sz w:val="24"/>
          <w:szCs w:val="24"/>
        </w:rPr>
        <w:t xml:space="preserve">. </w:t>
      </w:r>
      <w:r w:rsidR="000D042F">
        <w:rPr>
          <w:rFonts w:ascii="Arial" w:hAnsi="Arial" w:cs="Arial"/>
          <w:color w:val="000000" w:themeColor="text1"/>
          <w:sz w:val="24"/>
          <w:szCs w:val="24"/>
        </w:rPr>
        <w:t xml:space="preserve"> </w:t>
      </w:r>
      <w:r w:rsidR="007A0746">
        <w:rPr>
          <w:rFonts w:ascii="Arial" w:hAnsi="Arial" w:cs="Arial"/>
          <w:color w:val="000000" w:themeColor="text1"/>
          <w:sz w:val="24"/>
          <w:szCs w:val="24"/>
        </w:rPr>
        <w:t>The impact of forest plantations</w:t>
      </w:r>
      <w:r w:rsidR="00977540">
        <w:rPr>
          <w:rFonts w:ascii="Arial" w:hAnsi="Arial" w:cs="Arial"/>
          <w:color w:val="000000" w:themeColor="text1"/>
          <w:sz w:val="24"/>
          <w:szCs w:val="24"/>
        </w:rPr>
        <w:t>, particular</w:t>
      </w:r>
      <w:r w:rsidR="0065431C">
        <w:rPr>
          <w:rFonts w:ascii="Arial" w:hAnsi="Arial" w:cs="Arial"/>
          <w:color w:val="000000" w:themeColor="text1"/>
          <w:sz w:val="24"/>
          <w:szCs w:val="24"/>
        </w:rPr>
        <w:t>l</w:t>
      </w:r>
      <w:r w:rsidR="00977540">
        <w:rPr>
          <w:rFonts w:ascii="Arial" w:hAnsi="Arial" w:cs="Arial"/>
          <w:color w:val="000000" w:themeColor="text1"/>
          <w:sz w:val="24"/>
          <w:szCs w:val="24"/>
        </w:rPr>
        <w:t>y in relation to wind farms</w:t>
      </w:r>
      <w:r w:rsidR="007A0746">
        <w:rPr>
          <w:rFonts w:ascii="Arial" w:hAnsi="Arial" w:cs="Arial"/>
          <w:color w:val="000000" w:themeColor="text1"/>
          <w:sz w:val="24"/>
          <w:szCs w:val="24"/>
        </w:rPr>
        <w:t>,</w:t>
      </w:r>
      <w:r w:rsidR="00977540">
        <w:rPr>
          <w:rFonts w:ascii="Arial" w:hAnsi="Arial" w:cs="Arial"/>
          <w:color w:val="000000" w:themeColor="text1"/>
          <w:sz w:val="24"/>
          <w:szCs w:val="24"/>
        </w:rPr>
        <w:t xml:space="preserve"> is evident in Fermanagh (Map 4). </w:t>
      </w:r>
    </w:p>
    <w:p w:rsidR="00A677D3" w:rsidRDefault="00A677D3" w:rsidP="00384661">
      <w:pPr>
        <w:pStyle w:val="EndnoteText"/>
        <w:autoSpaceDE w:val="0"/>
        <w:autoSpaceDN w:val="0"/>
        <w:adjustRightInd w:val="0"/>
        <w:ind w:left="720" w:hanging="720"/>
        <w:rPr>
          <w:rFonts w:ascii="Arial" w:hAnsi="Arial" w:cs="Arial"/>
          <w:color w:val="000000" w:themeColor="text1"/>
          <w:sz w:val="24"/>
          <w:szCs w:val="24"/>
        </w:rPr>
      </w:pPr>
    </w:p>
    <w:p w:rsidR="00CD1BD3" w:rsidRDefault="00AA7DCA" w:rsidP="00384661">
      <w:pPr>
        <w:pStyle w:val="EndnoteText"/>
        <w:autoSpaceDE w:val="0"/>
        <w:autoSpaceDN w:val="0"/>
        <w:adjustRightInd w:val="0"/>
        <w:ind w:left="720" w:hanging="720"/>
        <w:rPr>
          <w:rFonts w:ascii="Arial" w:hAnsi="Arial" w:cs="Arial"/>
          <w:color w:val="000000" w:themeColor="text1"/>
          <w:sz w:val="24"/>
          <w:szCs w:val="24"/>
        </w:rPr>
      </w:pPr>
      <w:r>
        <w:rPr>
          <w:rFonts w:ascii="Arial" w:hAnsi="Arial" w:cs="Arial"/>
          <w:color w:val="000000" w:themeColor="text1"/>
          <w:sz w:val="24"/>
          <w:szCs w:val="24"/>
        </w:rPr>
        <w:t>5.12</w:t>
      </w:r>
      <w:r w:rsidR="00A677D3">
        <w:rPr>
          <w:rFonts w:ascii="Arial" w:hAnsi="Arial" w:cs="Arial"/>
          <w:color w:val="000000" w:themeColor="text1"/>
          <w:sz w:val="24"/>
          <w:szCs w:val="24"/>
        </w:rPr>
        <w:tab/>
      </w:r>
      <w:r w:rsidR="000D042F" w:rsidRPr="00A677D3">
        <w:rPr>
          <w:rFonts w:ascii="Arial" w:hAnsi="Arial" w:cs="Arial"/>
          <w:color w:val="000000" w:themeColor="text1"/>
          <w:sz w:val="24"/>
          <w:szCs w:val="24"/>
        </w:rPr>
        <w:t>Ongoing issues with grid connection, in particular the delay in timescales for receipt of quotes for connection to the electricity grid</w:t>
      </w:r>
      <w:r w:rsidR="00977540" w:rsidRPr="00A677D3">
        <w:rPr>
          <w:rFonts w:ascii="Arial" w:hAnsi="Arial" w:cs="Arial"/>
          <w:color w:val="000000" w:themeColor="text1"/>
          <w:sz w:val="24"/>
          <w:szCs w:val="24"/>
        </w:rPr>
        <w:t xml:space="preserve"> and the high cost of connecting to the grid has resulted in many projects becoming unfeasible.</w:t>
      </w:r>
      <w:r w:rsidR="00977540">
        <w:rPr>
          <w:rFonts w:ascii="Arial" w:hAnsi="Arial" w:cs="Arial"/>
          <w:color w:val="000000" w:themeColor="text1"/>
          <w:sz w:val="24"/>
          <w:szCs w:val="24"/>
        </w:rPr>
        <w:t xml:space="preserve">  </w:t>
      </w:r>
    </w:p>
    <w:p w:rsidR="00977540" w:rsidRDefault="00977540" w:rsidP="00384661">
      <w:pPr>
        <w:pStyle w:val="EndnoteText"/>
        <w:autoSpaceDE w:val="0"/>
        <w:autoSpaceDN w:val="0"/>
        <w:adjustRightInd w:val="0"/>
        <w:rPr>
          <w:rFonts w:ascii="Arial" w:hAnsi="Arial" w:cs="Arial"/>
          <w:color w:val="000000" w:themeColor="text1"/>
          <w:sz w:val="24"/>
          <w:szCs w:val="24"/>
        </w:rPr>
      </w:pPr>
    </w:p>
    <w:p w:rsidR="004441AB" w:rsidRPr="000A1194" w:rsidRDefault="00AA7DCA" w:rsidP="000A1194">
      <w:pPr>
        <w:pStyle w:val="EndnoteText"/>
        <w:autoSpaceDE w:val="0"/>
        <w:autoSpaceDN w:val="0"/>
        <w:adjustRightInd w:val="0"/>
        <w:ind w:left="720" w:hanging="720"/>
        <w:rPr>
          <w:rFonts w:ascii="Arial" w:hAnsi="Arial" w:cs="Arial"/>
          <w:b/>
          <w:color w:val="000000" w:themeColor="text1"/>
          <w:sz w:val="28"/>
          <w:szCs w:val="28"/>
        </w:rPr>
      </w:pPr>
      <w:r w:rsidRPr="005472B1">
        <w:rPr>
          <w:rFonts w:ascii="Arial" w:hAnsi="Arial" w:cs="Arial"/>
          <w:b/>
          <w:color w:val="000000" w:themeColor="text1"/>
          <w:sz w:val="28"/>
          <w:szCs w:val="28"/>
        </w:rPr>
        <w:t>6</w:t>
      </w:r>
      <w:r w:rsidR="00ED6592" w:rsidRPr="005472B1">
        <w:rPr>
          <w:rFonts w:ascii="Arial" w:hAnsi="Arial" w:cs="Arial"/>
          <w:b/>
          <w:color w:val="000000" w:themeColor="text1"/>
          <w:sz w:val="28"/>
          <w:szCs w:val="28"/>
        </w:rPr>
        <w:t>.0</w:t>
      </w:r>
      <w:r w:rsidR="00ED6592" w:rsidRPr="005472B1">
        <w:rPr>
          <w:rFonts w:ascii="Arial" w:hAnsi="Arial" w:cs="Arial"/>
          <w:b/>
          <w:color w:val="000000" w:themeColor="text1"/>
          <w:sz w:val="28"/>
          <w:szCs w:val="28"/>
        </w:rPr>
        <w:tab/>
      </w:r>
      <w:r w:rsidR="00A0707A" w:rsidRPr="000A1194">
        <w:rPr>
          <w:rFonts w:ascii="Arial" w:hAnsi="Arial" w:cs="Arial"/>
          <w:b/>
          <w:color w:val="000000" w:themeColor="text1"/>
          <w:sz w:val="28"/>
          <w:szCs w:val="28"/>
        </w:rPr>
        <w:t>Key Findings</w:t>
      </w:r>
      <w:r w:rsidR="000A1194">
        <w:rPr>
          <w:rFonts w:ascii="Arial" w:hAnsi="Arial" w:cs="Arial"/>
          <w:b/>
          <w:color w:val="000000" w:themeColor="text1"/>
          <w:sz w:val="28"/>
          <w:szCs w:val="28"/>
        </w:rPr>
        <w:t xml:space="preserve"> within the C</w:t>
      </w:r>
      <w:r w:rsidR="000A1194" w:rsidRPr="000A1194">
        <w:rPr>
          <w:rFonts w:ascii="Arial" w:hAnsi="Arial" w:cs="Arial"/>
          <w:b/>
          <w:color w:val="000000" w:themeColor="text1"/>
          <w:sz w:val="28"/>
          <w:szCs w:val="28"/>
        </w:rPr>
        <w:t xml:space="preserve">ontext of </w:t>
      </w:r>
      <w:r w:rsidR="000A1194">
        <w:rPr>
          <w:rFonts w:ascii="Arial" w:hAnsi="Arial" w:cs="Arial"/>
          <w:b/>
          <w:color w:val="000000" w:themeColor="text1"/>
          <w:sz w:val="28"/>
          <w:szCs w:val="28"/>
        </w:rPr>
        <w:t xml:space="preserve">the </w:t>
      </w:r>
      <w:r w:rsidR="004441AB" w:rsidRPr="000A1194">
        <w:rPr>
          <w:rFonts w:ascii="Arial" w:hAnsi="Arial" w:cs="Arial"/>
          <w:b/>
          <w:color w:val="000000" w:themeColor="text1"/>
          <w:sz w:val="28"/>
          <w:szCs w:val="28"/>
        </w:rPr>
        <w:t>N</w:t>
      </w:r>
      <w:r w:rsidR="005472B1" w:rsidRPr="000A1194">
        <w:rPr>
          <w:rFonts w:ascii="Arial" w:hAnsi="Arial" w:cs="Arial"/>
          <w:b/>
          <w:color w:val="000000" w:themeColor="text1"/>
          <w:sz w:val="28"/>
          <w:szCs w:val="28"/>
        </w:rPr>
        <w:t>orthern Ireland Landscape Character</w:t>
      </w:r>
      <w:r w:rsidR="004441AB" w:rsidRPr="000A1194">
        <w:rPr>
          <w:rFonts w:ascii="Arial" w:hAnsi="Arial" w:cs="Arial"/>
          <w:b/>
          <w:color w:val="000000" w:themeColor="text1"/>
          <w:sz w:val="28"/>
          <w:szCs w:val="28"/>
        </w:rPr>
        <w:t xml:space="preserve"> Areas (</w:t>
      </w:r>
      <w:r w:rsidR="00E063F5" w:rsidRPr="000A1194">
        <w:rPr>
          <w:rFonts w:ascii="Arial" w:hAnsi="Arial" w:cs="Arial"/>
          <w:b/>
          <w:color w:val="000000" w:themeColor="text1"/>
          <w:sz w:val="28"/>
          <w:szCs w:val="28"/>
        </w:rPr>
        <w:t>NI</w:t>
      </w:r>
      <w:r w:rsidR="004441AB" w:rsidRPr="000A1194">
        <w:rPr>
          <w:rFonts w:ascii="Arial" w:hAnsi="Arial" w:cs="Arial"/>
          <w:b/>
          <w:color w:val="000000" w:themeColor="text1"/>
          <w:sz w:val="28"/>
          <w:szCs w:val="28"/>
        </w:rPr>
        <w:t>LCA’s)</w:t>
      </w:r>
    </w:p>
    <w:p w:rsidR="008D097C" w:rsidRPr="00D80D50" w:rsidRDefault="008D097C" w:rsidP="00384661">
      <w:pPr>
        <w:pStyle w:val="EndnoteText"/>
        <w:autoSpaceDE w:val="0"/>
        <w:autoSpaceDN w:val="0"/>
        <w:adjustRightInd w:val="0"/>
        <w:ind w:left="720" w:hanging="720"/>
        <w:rPr>
          <w:rFonts w:ascii="Arial" w:hAnsi="Arial" w:cs="Arial"/>
          <w:color w:val="000000" w:themeColor="text1"/>
          <w:sz w:val="24"/>
          <w:szCs w:val="24"/>
        </w:rPr>
      </w:pPr>
    </w:p>
    <w:p w:rsidR="000A1194" w:rsidRDefault="00AA7DCA" w:rsidP="00384661">
      <w:pPr>
        <w:pStyle w:val="EndnoteText"/>
        <w:autoSpaceDE w:val="0"/>
        <w:autoSpaceDN w:val="0"/>
        <w:adjustRightInd w:val="0"/>
        <w:ind w:left="720" w:hanging="720"/>
        <w:rPr>
          <w:rFonts w:ascii="Arial" w:hAnsi="Arial" w:cs="Arial"/>
          <w:color w:val="000000" w:themeColor="text1"/>
          <w:sz w:val="24"/>
          <w:szCs w:val="24"/>
        </w:rPr>
      </w:pPr>
      <w:r>
        <w:rPr>
          <w:rFonts w:ascii="Arial" w:hAnsi="Arial" w:cs="Arial"/>
          <w:color w:val="000000" w:themeColor="text1"/>
          <w:sz w:val="24"/>
          <w:szCs w:val="24"/>
        </w:rPr>
        <w:t>6</w:t>
      </w:r>
      <w:r w:rsidR="00ED6592">
        <w:rPr>
          <w:rFonts w:ascii="Arial" w:hAnsi="Arial" w:cs="Arial"/>
          <w:color w:val="000000" w:themeColor="text1"/>
          <w:sz w:val="24"/>
          <w:szCs w:val="24"/>
        </w:rPr>
        <w:t>.1</w:t>
      </w:r>
      <w:r w:rsidR="00BA35BE" w:rsidRPr="00D80D50">
        <w:rPr>
          <w:rFonts w:ascii="Arial" w:hAnsi="Arial" w:cs="Arial"/>
          <w:color w:val="000000" w:themeColor="text1"/>
          <w:sz w:val="24"/>
          <w:szCs w:val="24"/>
        </w:rPr>
        <w:tab/>
      </w:r>
      <w:r w:rsidR="000A1194">
        <w:rPr>
          <w:rFonts w:ascii="Arial" w:hAnsi="Arial" w:cs="Arial"/>
          <w:color w:val="000000" w:themeColor="text1"/>
          <w:sz w:val="24"/>
          <w:szCs w:val="24"/>
        </w:rPr>
        <w:t>This section examines areas of development pressures within the context of the Northern Ireland Landscape Character Areas (LCAs), drawing from information provided in the Landscape Character Assessment Paper (Paper 14).</w:t>
      </w:r>
    </w:p>
    <w:p w:rsidR="000A1194" w:rsidRDefault="000A1194" w:rsidP="00384661">
      <w:pPr>
        <w:pStyle w:val="EndnoteText"/>
        <w:autoSpaceDE w:val="0"/>
        <w:autoSpaceDN w:val="0"/>
        <w:adjustRightInd w:val="0"/>
        <w:ind w:left="720" w:hanging="720"/>
        <w:rPr>
          <w:rFonts w:ascii="Arial" w:hAnsi="Arial" w:cs="Arial"/>
          <w:color w:val="000000" w:themeColor="text1"/>
          <w:sz w:val="24"/>
          <w:szCs w:val="24"/>
        </w:rPr>
      </w:pPr>
    </w:p>
    <w:p w:rsidR="008D097C" w:rsidRPr="00D80D50" w:rsidRDefault="000A1194" w:rsidP="00384661">
      <w:pPr>
        <w:pStyle w:val="EndnoteText"/>
        <w:autoSpaceDE w:val="0"/>
        <w:autoSpaceDN w:val="0"/>
        <w:adjustRightInd w:val="0"/>
        <w:ind w:left="720" w:hanging="720"/>
        <w:rPr>
          <w:rFonts w:ascii="Arial" w:hAnsi="Arial" w:cs="Arial"/>
          <w:color w:val="000000" w:themeColor="text1"/>
          <w:sz w:val="24"/>
          <w:szCs w:val="24"/>
        </w:rPr>
      </w:pPr>
      <w:r>
        <w:rPr>
          <w:rFonts w:ascii="Arial" w:hAnsi="Arial" w:cs="Arial"/>
          <w:color w:val="000000" w:themeColor="text1"/>
          <w:sz w:val="24"/>
          <w:szCs w:val="24"/>
        </w:rPr>
        <w:t>6.2</w:t>
      </w:r>
      <w:r>
        <w:rPr>
          <w:rFonts w:ascii="Arial" w:hAnsi="Arial" w:cs="Arial"/>
          <w:color w:val="000000" w:themeColor="text1"/>
          <w:sz w:val="24"/>
          <w:szCs w:val="24"/>
        </w:rPr>
        <w:tab/>
      </w:r>
      <w:r w:rsidR="00BA35BE" w:rsidRPr="00D80D50">
        <w:rPr>
          <w:rFonts w:ascii="Arial" w:hAnsi="Arial" w:cs="Arial"/>
          <w:color w:val="000000" w:themeColor="text1"/>
          <w:sz w:val="24"/>
          <w:szCs w:val="24"/>
        </w:rPr>
        <w:t xml:space="preserve">The low lying central region of </w:t>
      </w:r>
      <w:r w:rsidR="002F1331">
        <w:rPr>
          <w:rFonts w:ascii="Arial" w:hAnsi="Arial" w:cs="Arial"/>
          <w:color w:val="000000" w:themeColor="text1"/>
          <w:sz w:val="24"/>
          <w:szCs w:val="24"/>
        </w:rPr>
        <w:t>the</w:t>
      </w:r>
      <w:r w:rsidR="00BA35BE" w:rsidRPr="00D80D50">
        <w:rPr>
          <w:rFonts w:ascii="Arial" w:hAnsi="Arial" w:cs="Arial"/>
          <w:color w:val="000000" w:themeColor="text1"/>
          <w:sz w:val="24"/>
          <w:szCs w:val="24"/>
        </w:rPr>
        <w:t xml:space="preserve"> council district is broadly speaking more </w:t>
      </w:r>
      <w:r w:rsidR="00944167">
        <w:rPr>
          <w:rFonts w:ascii="Arial" w:hAnsi="Arial" w:cs="Arial"/>
          <w:color w:val="000000" w:themeColor="text1"/>
          <w:sz w:val="24"/>
          <w:szCs w:val="24"/>
        </w:rPr>
        <w:t>capable of absorbing</w:t>
      </w:r>
      <w:r w:rsidR="00BA35BE" w:rsidRPr="00D80D50">
        <w:rPr>
          <w:rFonts w:ascii="Arial" w:hAnsi="Arial" w:cs="Arial"/>
          <w:color w:val="000000" w:themeColor="text1"/>
          <w:sz w:val="24"/>
          <w:szCs w:val="24"/>
        </w:rPr>
        <w:t xml:space="preserve"> development pressure</w:t>
      </w:r>
      <w:r w:rsidR="00944167">
        <w:rPr>
          <w:rFonts w:ascii="Arial" w:hAnsi="Arial" w:cs="Arial"/>
          <w:color w:val="000000" w:themeColor="text1"/>
          <w:sz w:val="24"/>
          <w:szCs w:val="24"/>
        </w:rPr>
        <w:t xml:space="preserve"> due to the occurrence of drumlin features in the landscape.  This is reflected by both the high level of historic planning decisions in this area and the ability of the landscape to accommodate further development.  In addition it is also linked to its central location between the two main </w:t>
      </w:r>
      <w:r w:rsidR="00BA35BE" w:rsidRPr="00D80D50">
        <w:rPr>
          <w:rFonts w:ascii="Arial" w:hAnsi="Arial" w:cs="Arial"/>
          <w:color w:val="000000" w:themeColor="text1"/>
          <w:sz w:val="24"/>
          <w:szCs w:val="24"/>
        </w:rPr>
        <w:t xml:space="preserve">towns </w:t>
      </w:r>
      <w:r w:rsidR="00944167">
        <w:rPr>
          <w:rFonts w:ascii="Arial" w:hAnsi="Arial" w:cs="Arial"/>
          <w:color w:val="000000" w:themeColor="text1"/>
          <w:sz w:val="24"/>
          <w:szCs w:val="24"/>
        </w:rPr>
        <w:t>and</w:t>
      </w:r>
      <w:r w:rsidR="002F1331">
        <w:rPr>
          <w:rFonts w:ascii="Arial" w:hAnsi="Arial" w:cs="Arial"/>
          <w:color w:val="000000" w:themeColor="text1"/>
          <w:sz w:val="24"/>
          <w:szCs w:val="24"/>
        </w:rPr>
        <w:t xml:space="preserve"> greater accessibility to </w:t>
      </w:r>
      <w:r w:rsidR="00BA35BE" w:rsidRPr="00D80D50">
        <w:rPr>
          <w:rFonts w:ascii="Arial" w:hAnsi="Arial" w:cs="Arial"/>
          <w:color w:val="000000" w:themeColor="text1"/>
          <w:sz w:val="24"/>
          <w:szCs w:val="24"/>
        </w:rPr>
        <w:t>the main transport corridors</w:t>
      </w:r>
      <w:r w:rsidR="00944167">
        <w:rPr>
          <w:rFonts w:ascii="Arial" w:hAnsi="Arial" w:cs="Arial"/>
          <w:color w:val="000000" w:themeColor="text1"/>
          <w:sz w:val="24"/>
          <w:szCs w:val="24"/>
        </w:rPr>
        <w:t xml:space="preserve">, </w:t>
      </w:r>
      <w:r w:rsidR="00D64DBA">
        <w:rPr>
          <w:rFonts w:ascii="Arial" w:hAnsi="Arial" w:cs="Arial"/>
          <w:color w:val="000000" w:themeColor="text1"/>
          <w:sz w:val="24"/>
          <w:szCs w:val="24"/>
        </w:rPr>
        <w:t xml:space="preserve">the </w:t>
      </w:r>
      <w:r w:rsidR="00944167">
        <w:rPr>
          <w:rFonts w:ascii="Arial" w:hAnsi="Arial" w:cs="Arial"/>
          <w:color w:val="000000" w:themeColor="text1"/>
          <w:sz w:val="24"/>
          <w:szCs w:val="24"/>
        </w:rPr>
        <w:t xml:space="preserve">A32 </w:t>
      </w:r>
      <w:r w:rsidR="00D64DBA">
        <w:rPr>
          <w:rFonts w:ascii="Arial" w:hAnsi="Arial" w:cs="Arial"/>
          <w:color w:val="000000" w:themeColor="text1"/>
          <w:sz w:val="24"/>
          <w:szCs w:val="24"/>
        </w:rPr>
        <w:t xml:space="preserve">and </w:t>
      </w:r>
      <w:r w:rsidR="00D64DBA" w:rsidRPr="008B4ABE">
        <w:rPr>
          <w:rFonts w:ascii="Arial" w:hAnsi="Arial" w:cs="Arial"/>
          <w:color w:val="000000" w:themeColor="text1"/>
          <w:sz w:val="24"/>
          <w:szCs w:val="24"/>
        </w:rPr>
        <w:t>the A4</w:t>
      </w:r>
      <w:r w:rsidR="00BA35BE" w:rsidRPr="00D80D50">
        <w:rPr>
          <w:rFonts w:ascii="Arial" w:hAnsi="Arial" w:cs="Arial"/>
          <w:color w:val="000000" w:themeColor="text1"/>
          <w:sz w:val="24"/>
          <w:szCs w:val="24"/>
        </w:rPr>
        <w:t xml:space="preserve">. </w:t>
      </w:r>
      <w:r w:rsidR="00D64DBA">
        <w:rPr>
          <w:rFonts w:ascii="Arial" w:hAnsi="Arial" w:cs="Arial"/>
          <w:color w:val="000000" w:themeColor="text1"/>
          <w:sz w:val="24"/>
          <w:szCs w:val="24"/>
        </w:rPr>
        <w:t xml:space="preserve"> </w:t>
      </w:r>
    </w:p>
    <w:p w:rsidR="00BA35BE" w:rsidRPr="00D80D50" w:rsidRDefault="00BA35BE" w:rsidP="00384661">
      <w:pPr>
        <w:pStyle w:val="EndnoteText"/>
        <w:autoSpaceDE w:val="0"/>
        <w:autoSpaceDN w:val="0"/>
        <w:adjustRightInd w:val="0"/>
        <w:ind w:left="720" w:hanging="720"/>
        <w:rPr>
          <w:rFonts w:ascii="Arial" w:hAnsi="Arial" w:cs="Arial"/>
          <w:color w:val="000000" w:themeColor="text1"/>
          <w:sz w:val="24"/>
          <w:szCs w:val="24"/>
        </w:rPr>
      </w:pPr>
    </w:p>
    <w:p w:rsidR="00A81EB2" w:rsidRPr="00D80D50" w:rsidRDefault="00AA7DCA" w:rsidP="00384661">
      <w:pPr>
        <w:pStyle w:val="EndnoteText"/>
        <w:autoSpaceDE w:val="0"/>
        <w:autoSpaceDN w:val="0"/>
        <w:adjustRightInd w:val="0"/>
        <w:ind w:left="720" w:hanging="720"/>
        <w:rPr>
          <w:rFonts w:ascii="Arial" w:hAnsi="Arial" w:cs="Arial"/>
          <w:color w:val="000000" w:themeColor="text1"/>
          <w:sz w:val="24"/>
          <w:szCs w:val="24"/>
        </w:rPr>
      </w:pPr>
      <w:r>
        <w:rPr>
          <w:rFonts w:ascii="Arial" w:hAnsi="Arial" w:cs="Arial"/>
          <w:color w:val="000000" w:themeColor="text1"/>
          <w:sz w:val="24"/>
          <w:szCs w:val="24"/>
        </w:rPr>
        <w:t>6</w:t>
      </w:r>
      <w:r w:rsidR="000A1194">
        <w:rPr>
          <w:rFonts w:ascii="Arial" w:hAnsi="Arial" w:cs="Arial"/>
          <w:color w:val="000000" w:themeColor="text1"/>
          <w:sz w:val="24"/>
          <w:szCs w:val="24"/>
        </w:rPr>
        <w:t>.3</w:t>
      </w:r>
      <w:r w:rsidR="00BA35BE" w:rsidRPr="00D80D50">
        <w:rPr>
          <w:rFonts w:ascii="Arial" w:hAnsi="Arial" w:cs="Arial"/>
          <w:color w:val="000000" w:themeColor="text1"/>
          <w:sz w:val="24"/>
          <w:szCs w:val="24"/>
        </w:rPr>
        <w:tab/>
        <w:t>This central area includes the LCA of ‘Irvinestown farmland’ and ‘Omagh farmland’</w:t>
      </w:r>
      <w:r w:rsidR="002F1331">
        <w:rPr>
          <w:rFonts w:ascii="Arial" w:hAnsi="Arial" w:cs="Arial"/>
          <w:color w:val="000000" w:themeColor="text1"/>
          <w:sz w:val="24"/>
          <w:szCs w:val="24"/>
        </w:rPr>
        <w:t xml:space="preserve"> with development pressure</w:t>
      </w:r>
      <w:r w:rsidR="00BA35BE" w:rsidRPr="00D80D50">
        <w:rPr>
          <w:rFonts w:ascii="Arial" w:hAnsi="Arial" w:cs="Arial"/>
          <w:color w:val="000000" w:themeColor="text1"/>
          <w:sz w:val="24"/>
          <w:szCs w:val="24"/>
        </w:rPr>
        <w:t xml:space="preserve"> evident </w:t>
      </w:r>
      <w:r w:rsidR="008B4ABE">
        <w:rPr>
          <w:rFonts w:ascii="Arial" w:hAnsi="Arial" w:cs="Arial"/>
          <w:color w:val="000000" w:themeColor="text1"/>
          <w:sz w:val="24"/>
          <w:szCs w:val="24"/>
        </w:rPr>
        <w:t>in Map 5</w:t>
      </w:r>
      <w:r w:rsidR="00823E91">
        <w:rPr>
          <w:rFonts w:ascii="Arial" w:hAnsi="Arial" w:cs="Arial"/>
          <w:color w:val="000000" w:themeColor="text1"/>
          <w:sz w:val="24"/>
          <w:szCs w:val="24"/>
        </w:rPr>
        <w:t>.</w:t>
      </w:r>
      <w:r w:rsidR="00BA35BE" w:rsidRPr="00D80D50">
        <w:rPr>
          <w:rFonts w:ascii="Arial" w:hAnsi="Arial" w:cs="Arial"/>
          <w:color w:val="000000" w:themeColor="text1"/>
          <w:sz w:val="24"/>
          <w:szCs w:val="24"/>
        </w:rPr>
        <w:t xml:space="preserve"> </w:t>
      </w:r>
      <w:r w:rsidR="00D64DBA">
        <w:rPr>
          <w:rFonts w:ascii="Arial" w:hAnsi="Arial" w:cs="Arial"/>
          <w:color w:val="000000" w:themeColor="text1"/>
          <w:sz w:val="24"/>
          <w:szCs w:val="24"/>
        </w:rPr>
        <w:t xml:space="preserve"> </w:t>
      </w:r>
      <w:r w:rsidR="00C3747D" w:rsidRPr="00D80D50">
        <w:rPr>
          <w:rFonts w:ascii="Arial" w:hAnsi="Arial" w:cs="Arial"/>
          <w:color w:val="000000" w:themeColor="text1"/>
          <w:sz w:val="24"/>
          <w:szCs w:val="24"/>
        </w:rPr>
        <w:t xml:space="preserve">The statistical analysis also illustrates the cluster of pressure areas to a high degree of statistical confidence. </w:t>
      </w:r>
    </w:p>
    <w:p w:rsidR="00A2176D" w:rsidRPr="00D80D50" w:rsidRDefault="00A2176D" w:rsidP="00384661">
      <w:pPr>
        <w:pStyle w:val="EndnoteText"/>
        <w:autoSpaceDE w:val="0"/>
        <w:autoSpaceDN w:val="0"/>
        <w:adjustRightInd w:val="0"/>
        <w:ind w:left="720" w:hanging="720"/>
        <w:rPr>
          <w:rFonts w:ascii="Arial" w:hAnsi="Arial" w:cs="Arial"/>
          <w:color w:val="000000" w:themeColor="text1"/>
          <w:sz w:val="24"/>
          <w:szCs w:val="24"/>
        </w:rPr>
      </w:pPr>
    </w:p>
    <w:p w:rsidR="00A2176D" w:rsidRDefault="00AA7DCA" w:rsidP="00384661">
      <w:pPr>
        <w:pStyle w:val="EndnoteText"/>
        <w:autoSpaceDE w:val="0"/>
        <w:autoSpaceDN w:val="0"/>
        <w:adjustRightInd w:val="0"/>
        <w:ind w:left="720" w:hanging="720"/>
        <w:rPr>
          <w:rFonts w:ascii="Arial" w:hAnsi="Arial" w:cs="Arial"/>
          <w:color w:val="000000" w:themeColor="text1"/>
          <w:sz w:val="24"/>
          <w:szCs w:val="24"/>
        </w:rPr>
      </w:pPr>
      <w:r>
        <w:rPr>
          <w:rFonts w:ascii="Arial" w:hAnsi="Arial" w:cs="Arial"/>
          <w:color w:val="000000" w:themeColor="text1"/>
          <w:sz w:val="24"/>
          <w:szCs w:val="24"/>
        </w:rPr>
        <w:t>6</w:t>
      </w:r>
      <w:r w:rsidR="000A1194">
        <w:rPr>
          <w:rFonts w:ascii="Arial" w:hAnsi="Arial" w:cs="Arial"/>
          <w:color w:val="000000" w:themeColor="text1"/>
          <w:sz w:val="24"/>
          <w:szCs w:val="24"/>
        </w:rPr>
        <w:t>.4</w:t>
      </w:r>
      <w:r w:rsidR="00A2176D" w:rsidRPr="00D80D50">
        <w:rPr>
          <w:rFonts w:ascii="Arial" w:hAnsi="Arial" w:cs="Arial"/>
          <w:color w:val="000000" w:themeColor="text1"/>
          <w:sz w:val="24"/>
          <w:szCs w:val="24"/>
        </w:rPr>
        <w:tab/>
        <w:t>How</w:t>
      </w:r>
      <w:r w:rsidR="00A677D3">
        <w:rPr>
          <w:rFonts w:ascii="Arial" w:hAnsi="Arial" w:cs="Arial"/>
          <w:color w:val="000000" w:themeColor="text1"/>
          <w:sz w:val="24"/>
          <w:szCs w:val="24"/>
        </w:rPr>
        <w:t xml:space="preserve">ever </w:t>
      </w:r>
      <w:r w:rsidR="001B0271">
        <w:rPr>
          <w:rFonts w:ascii="Arial" w:hAnsi="Arial" w:cs="Arial"/>
          <w:color w:val="000000" w:themeColor="text1"/>
          <w:sz w:val="24"/>
          <w:szCs w:val="24"/>
        </w:rPr>
        <w:t>other areas</w:t>
      </w:r>
      <w:r w:rsidR="000A1194">
        <w:rPr>
          <w:rFonts w:ascii="Arial" w:hAnsi="Arial" w:cs="Arial"/>
          <w:color w:val="000000" w:themeColor="text1"/>
          <w:sz w:val="24"/>
          <w:szCs w:val="24"/>
        </w:rPr>
        <w:t xml:space="preserve"> </w:t>
      </w:r>
      <w:r w:rsidR="001B0271">
        <w:rPr>
          <w:rFonts w:ascii="Arial" w:hAnsi="Arial" w:cs="Arial"/>
          <w:color w:val="000000" w:themeColor="text1"/>
          <w:sz w:val="24"/>
          <w:szCs w:val="24"/>
        </w:rPr>
        <w:t xml:space="preserve">which </w:t>
      </w:r>
      <w:r w:rsidR="00E063F5">
        <w:rPr>
          <w:rFonts w:ascii="Arial" w:hAnsi="Arial" w:cs="Arial"/>
          <w:color w:val="000000" w:themeColor="text1"/>
          <w:sz w:val="24"/>
          <w:szCs w:val="24"/>
        </w:rPr>
        <w:t>are</w:t>
      </w:r>
      <w:r w:rsidR="000C32E3">
        <w:rPr>
          <w:rFonts w:ascii="Arial" w:hAnsi="Arial" w:cs="Arial"/>
          <w:color w:val="000000" w:themeColor="text1"/>
          <w:sz w:val="24"/>
          <w:szCs w:val="24"/>
        </w:rPr>
        <w:t xml:space="preserve"> less accessible</w:t>
      </w:r>
      <w:r w:rsidR="001B0271">
        <w:rPr>
          <w:rFonts w:ascii="Arial" w:hAnsi="Arial" w:cs="Arial"/>
          <w:color w:val="000000" w:themeColor="text1"/>
          <w:sz w:val="24"/>
          <w:szCs w:val="24"/>
        </w:rPr>
        <w:t xml:space="preserve"> to the main transport corridors</w:t>
      </w:r>
      <w:r w:rsidR="00A2176D" w:rsidRPr="00D80D50">
        <w:rPr>
          <w:rFonts w:ascii="Arial" w:hAnsi="Arial" w:cs="Arial"/>
          <w:color w:val="000000" w:themeColor="text1"/>
          <w:sz w:val="24"/>
          <w:szCs w:val="24"/>
        </w:rPr>
        <w:t xml:space="preserve"> have </w:t>
      </w:r>
      <w:r w:rsidR="00D64DBA">
        <w:rPr>
          <w:rFonts w:ascii="Arial" w:hAnsi="Arial" w:cs="Arial"/>
          <w:color w:val="000000" w:themeColor="text1"/>
          <w:sz w:val="24"/>
          <w:szCs w:val="24"/>
        </w:rPr>
        <w:t>also witnessed</w:t>
      </w:r>
      <w:r w:rsidR="00A2176D" w:rsidRPr="00D80D50">
        <w:rPr>
          <w:rFonts w:ascii="Arial" w:hAnsi="Arial" w:cs="Arial"/>
          <w:color w:val="000000" w:themeColor="text1"/>
          <w:sz w:val="24"/>
          <w:szCs w:val="24"/>
        </w:rPr>
        <w:t xml:space="preserve"> exceptionally hi</w:t>
      </w:r>
      <w:r w:rsidR="000A1194">
        <w:rPr>
          <w:rFonts w:ascii="Arial" w:hAnsi="Arial" w:cs="Arial"/>
          <w:color w:val="000000" w:themeColor="text1"/>
          <w:sz w:val="24"/>
          <w:szCs w:val="24"/>
        </w:rPr>
        <w:t xml:space="preserve">gh pressure. An example is The </w:t>
      </w:r>
      <w:proofErr w:type="spellStart"/>
      <w:r w:rsidR="000A1194">
        <w:rPr>
          <w:rFonts w:ascii="Arial" w:hAnsi="Arial" w:cs="Arial"/>
          <w:color w:val="000000" w:themeColor="text1"/>
          <w:sz w:val="24"/>
          <w:szCs w:val="24"/>
        </w:rPr>
        <w:t>Sillees</w:t>
      </w:r>
      <w:proofErr w:type="spellEnd"/>
      <w:r w:rsidR="000A1194">
        <w:rPr>
          <w:rFonts w:ascii="Arial" w:hAnsi="Arial" w:cs="Arial"/>
          <w:color w:val="000000" w:themeColor="text1"/>
          <w:sz w:val="24"/>
          <w:szCs w:val="24"/>
        </w:rPr>
        <w:t xml:space="preserve"> Valley</w:t>
      </w:r>
      <w:r w:rsidR="00A2176D" w:rsidRPr="00D80D50">
        <w:rPr>
          <w:rFonts w:ascii="Arial" w:hAnsi="Arial" w:cs="Arial"/>
          <w:color w:val="000000" w:themeColor="text1"/>
          <w:sz w:val="24"/>
          <w:szCs w:val="24"/>
        </w:rPr>
        <w:t xml:space="preserve"> </w:t>
      </w:r>
      <w:r w:rsidR="000A1194">
        <w:rPr>
          <w:rFonts w:ascii="Arial" w:hAnsi="Arial" w:cs="Arial"/>
          <w:color w:val="000000" w:themeColor="text1"/>
          <w:sz w:val="24"/>
          <w:szCs w:val="24"/>
        </w:rPr>
        <w:t xml:space="preserve">LCA which lies </w:t>
      </w:r>
      <w:r w:rsidR="00A2176D" w:rsidRPr="00D80D50">
        <w:rPr>
          <w:rFonts w:ascii="Arial" w:hAnsi="Arial" w:cs="Arial"/>
          <w:color w:val="000000" w:themeColor="text1"/>
          <w:sz w:val="24"/>
          <w:szCs w:val="24"/>
        </w:rPr>
        <w:t>west of Lower Lough Erne. This area has experienced extremely high pressure in the la</w:t>
      </w:r>
      <w:r w:rsidR="000A1194">
        <w:rPr>
          <w:rFonts w:ascii="Arial" w:hAnsi="Arial" w:cs="Arial"/>
          <w:color w:val="000000" w:themeColor="text1"/>
          <w:sz w:val="24"/>
          <w:szCs w:val="24"/>
        </w:rPr>
        <w:t>st 10 years, as can be seen</w:t>
      </w:r>
      <w:r w:rsidR="00A2176D" w:rsidRPr="00D80D50">
        <w:rPr>
          <w:rFonts w:ascii="Arial" w:hAnsi="Arial" w:cs="Arial"/>
          <w:color w:val="000000" w:themeColor="text1"/>
          <w:sz w:val="24"/>
          <w:szCs w:val="24"/>
        </w:rPr>
        <w:t xml:space="preserve"> from the attached maps. This is </w:t>
      </w:r>
      <w:r w:rsidR="000A1194">
        <w:rPr>
          <w:rFonts w:ascii="Arial" w:hAnsi="Arial" w:cs="Arial"/>
          <w:color w:val="000000" w:themeColor="text1"/>
          <w:sz w:val="24"/>
          <w:szCs w:val="24"/>
        </w:rPr>
        <w:t>in contrast to neighbouring LCA</w:t>
      </w:r>
      <w:r w:rsidR="00A2176D" w:rsidRPr="00D80D50">
        <w:rPr>
          <w:rFonts w:ascii="Arial" w:hAnsi="Arial" w:cs="Arial"/>
          <w:color w:val="000000" w:themeColor="text1"/>
          <w:sz w:val="24"/>
          <w:szCs w:val="24"/>
        </w:rPr>
        <w:t>s</w:t>
      </w:r>
      <w:r w:rsidR="00D64DBA">
        <w:rPr>
          <w:rFonts w:ascii="Arial" w:hAnsi="Arial" w:cs="Arial"/>
          <w:color w:val="000000" w:themeColor="text1"/>
          <w:sz w:val="24"/>
          <w:szCs w:val="24"/>
        </w:rPr>
        <w:t>,</w:t>
      </w:r>
      <w:r w:rsidR="000A1194">
        <w:rPr>
          <w:rFonts w:ascii="Arial" w:hAnsi="Arial" w:cs="Arial"/>
          <w:color w:val="000000" w:themeColor="text1"/>
          <w:sz w:val="24"/>
          <w:szCs w:val="24"/>
        </w:rPr>
        <w:t xml:space="preserve"> such as </w:t>
      </w:r>
      <w:r w:rsidR="00A2176D" w:rsidRPr="00D80D50">
        <w:rPr>
          <w:rFonts w:ascii="Arial" w:hAnsi="Arial" w:cs="Arial"/>
          <w:color w:val="000000" w:themeColor="text1"/>
          <w:sz w:val="24"/>
          <w:szCs w:val="24"/>
        </w:rPr>
        <w:t>The Loug</w:t>
      </w:r>
      <w:r w:rsidR="000A1194">
        <w:rPr>
          <w:rFonts w:ascii="Arial" w:hAnsi="Arial" w:cs="Arial"/>
          <w:color w:val="000000" w:themeColor="text1"/>
          <w:sz w:val="24"/>
          <w:szCs w:val="24"/>
        </w:rPr>
        <w:t xml:space="preserve">h </w:t>
      </w:r>
      <w:proofErr w:type="spellStart"/>
      <w:r w:rsidR="000A1194">
        <w:rPr>
          <w:rFonts w:ascii="Arial" w:hAnsi="Arial" w:cs="Arial"/>
          <w:color w:val="000000" w:themeColor="text1"/>
          <w:sz w:val="24"/>
          <w:szCs w:val="24"/>
        </w:rPr>
        <w:t>Navar</w:t>
      </w:r>
      <w:proofErr w:type="spellEnd"/>
      <w:r w:rsidR="000A1194">
        <w:rPr>
          <w:rFonts w:ascii="Arial" w:hAnsi="Arial" w:cs="Arial"/>
          <w:color w:val="000000" w:themeColor="text1"/>
          <w:sz w:val="24"/>
          <w:szCs w:val="24"/>
        </w:rPr>
        <w:t xml:space="preserve"> and </w:t>
      </w:r>
      <w:proofErr w:type="spellStart"/>
      <w:r w:rsidR="000A1194">
        <w:rPr>
          <w:rFonts w:ascii="Arial" w:hAnsi="Arial" w:cs="Arial"/>
          <w:color w:val="000000" w:themeColor="text1"/>
          <w:sz w:val="24"/>
          <w:szCs w:val="24"/>
        </w:rPr>
        <w:t>Ballintempo</w:t>
      </w:r>
      <w:proofErr w:type="spellEnd"/>
      <w:r w:rsidR="000A1194">
        <w:rPr>
          <w:rFonts w:ascii="Arial" w:hAnsi="Arial" w:cs="Arial"/>
          <w:color w:val="000000" w:themeColor="text1"/>
          <w:sz w:val="24"/>
          <w:szCs w:val="24"/>
        </w:rPr>
        <w:t xml:space="preserve"> Uplands</w:t>
      </w:r>
      <w:r w:rsidR="00A2176D" w:rsidRPr="00D80D50">
        <w:rPr>
          <w:rFonts w:ascii="Arial" w:hAnsi="Arial" w:cs="Arial"/>
          <w:color w:val="000000" w:themeColor="text1"/>
          <w:sz w:val="24"/>
          <w:szCs w:val="24"/>
        </w:rPr>
        <w:t xml:space="preserve"> LCA and </w:t>
      </w:r>
      <w:r w:rsidR="00261DD0">
        <w:rPr>
          <w:rFonts w:ascii="Arial" w:hAnsi="Arial" w:cs="Arial"/>
          <w:color w:val="000000" w:themeColor="text1"/>
          <w:sz w:val="24"/>
          <w:szCs w:val="24"/>
        </w:rPr>
        <w:t xml:space="preserve">the </w:t>
      </w:r>
      <w:r w:rsidR="000A1194">
        <w:rPr>
          <w:rFonts w:ascii="Arial" w:hAnsi="Arial" w:cs="Arial"/>
          <w:color w:val="000000" w:themeColor="text1"/>
          <w:sz w:val="24"/>
          <w:szCs w:val="24"/>
        </w:rPr>
        <w:t>Enniskillen</w:t>
      </w:r>
      <w:r w:rsidR="001B0271">
        <w:rPr>
          <w:rFonts w:ascii="Arial" w:hAnsi="Arial" w:cs="Arial"/>
          <w:color w:val="000000" w:themeColor="text1"/>
          <w:sz w:val="24"/>
          <w:szCs w:val="24"/>
        </w:rPr>
        <w:t xml:space="preserve"> LCA, which</w:t>
      </w:r>
      <w:r w:rsidR="000C32E3">
        <w:rPr>
          <w:rFonts w:ascii="Arial" w:hAnsi="Arial" w:cs="Arial"/>
          <w:color w:val="000000" w:themeColor="text1"/>
          <w:sz w:val="24"/>
          <w:szCs w:val="24"/>
        </w:rPr>
        <w:t xml:space="preserve"> </w:t>
      </w:r>
      <w:r w:rsidR="001B0271">
        <w:rPr>
          <w:rFonts w:ascii="Arial" w:hAnsi="Arial" w:cs="Arial"/>
          <w:color w:val="000000" w:themeColor="text1"/>
          <w:sz w:val="24"/>
          <w:szCs w:val="24"/>
        </w:rPr>
        <w:t>have experienced less</w:t>
      </w:r>
      <w:r w:rsidR="000C32E3">
        <w:rPr>
          <w:rFonts w:ascii="Arial" w:hAnsi="Arial" w:cs="Arial"/>
          <w:color w:val="000000" w:themeColor="text1"/>
          <w:sz w:val="24"/>
          <w:szCs w:val="24"/>
        </w:rPr>
        <w:t xml:space="preserve"> development pressure as a likely result of the ex</w:t>
      </w:r>
      <w:r w:rsidR="000A1194">
        <w:rPr>
          <w:rFonts w:ascii="Arial" w:hAnsi="Arial" w:cs="Arial"/>
          <w:color w:val="000000" w:themeColor="text1"/>
          <w:sz w:val="24"/>
          <w:szCs w:val="24"/>
        </w:rPr>
        <w:t xml:space="preserve">isting topography and </w:t>
      </w:r>
      <w:r w:rsidR="00D64DBA">
        <w:rPr>
          <w:rFonts w:ascii="Arial" w:hAnsi="Arial" w:cs="Arial"/>
          <w:color w:val="000000" w:themeColor="text1"/>
          <w:sz w:val="24"/>
          <w:szCs w:val="24"/>
        </w:rPr>
        <w:t xml:space="preserve">SCA </w:t>
      </w:r>
      <w:r w:rsidR="000C32E3">
        <w:rPr>
          <w:rFonts w:ascii="Arial" w:hAnsi="Arial" w:cs="Arial"/>
          <w:color w:val="000000" w:themeColor="text1"/>
          <w:sz w:val="24"/>
          <w:szCs w:val="24"/>
        </w:rPr>
        <w:t xml:space="preserve">designation. </w:t>
      </w:r>
    </w:p>
    <w:p w:rsidR="000C32E3" w:rsidRPr="00D80D50" w:rsidRDefault="000C32E3" w:rsidP="00384661">
      <w:pPr>
        <w:pStyle w:val="EndnoteText"/>
        <w:autoSpaceDE w:val="0"/>
        <w:autoSpaceDN w:val="0"/>
        <w:adjustRightInd w:val="0"/>
        <w:ind w:left="720" w:hanging="720"/>
        <w:rPr>
          <w:rFonts w:ascii="Arial" w:hAnsi="Arial" w:cs="Arial"/>
          <w:color w:val="000000" w:themeColor="text1"/>
          <w:sz w:val="24"/>
          <w:szCs w:val="24"/>
        </w:rPr>
      </w:pPr>
    </w:p>
    <w:p w:rsidR="00A2176D" w:rsidRDefault="00AA7DCA" w:rsidP="00384661">
      <w:pPr>
        <w:pStyle w:val="EndnoteText"/>
        <w:autoSpaceDE w:val="0"/>
        <w:autoSpaceDN w:val="0"/>
        <w:adjustRightInd w:val="0"/>
        <w:ind w:left="720" w:hanging="720"/>
        <w:rPr>
          <w:rFonts w:ascii="Arial" w:hAnsi="Arial" w:cs="Arial"/>
          <w:color w:val="000000" w:themeColor="text1"/>
          <w:sz w:val="24"/>
          <w:szCs w:val="24"/>
        </w:rPr>
      </w:pPr>
      <w:r>
        <w:rPr>
          <w:rFonts w:ascii="Arial" w:hAnsi="Arial" w:cs="Arial"/>
          <w:color w:val="000000" w:themeColor="text1"/>
          <w:sz w:val="24"/>
          <w:szCs w:val="24"/>
        </w:rPr>
        <w:t>6</w:t>
      </w:r>
      <w:r w:rsidR="000A1194">
        <w:rPr>
          <w:rFonts w:ascii="Arial" w:hAnsi="Arial" w:cs="Arial"/>
          <w:color w:val="000000" w:themeColor="text1"/>
          <w:sz w:val="24"/>
          <w:szCs w:val="24"/>
        </w:rPr>
        <w:t>.5</w:t>
      </w:r>
      <w:r w:rsidR="00A2176D" w:rsidRPr="00D80D50">
        <w:rPr>
          <w:rFonts w:ascii="Arial" w:hAnsi="Arial" w:cs="Arial"/>
          <w:color w:val="000000" w:themeColor="text1"/>
          <w:sz w:val="24"/>
          <w:szCs w:val="24"/>
        </w:rPr>
        <w:tab/>
      </w:r>
      <w:r w:rsidR="000A1194">
        <w:rPr>
          <w:rFonts w:ascii="Arial" w:hAnsi="Arial" w:cs="Arial"/>
          <w:color w:val="000000" w:themeColor="text1"/>
          <w:sz w:val="24"/>
          <w:szCs w:val="24"/>
        </w:rPr>
        <w:t xml:space="preserve">Other </w:t>
      </w:r>
      <w:r w:rsidR="00C05294" w:rsidRPr="00D80D50">
        <w:rPr>
          <w:rFonts w:ascii="Arial" w:hAnsi="Arial" w:cs="Arial"/>
          <w:color w:val="000000" w:themeColor="text1"/>
          <w:sz w:val="24"/>
          <w:szCs w:val="24"/>
        </w:rPr>
        <w:t xml:space="preserve">contrasts exist in areas such as </w:t>
      </w:r>
      <w:r w:rsidR="000A1194">
        <w:rPr>
          <w:rFonts w:ascii="Arial" w:hAnsi="Arial" w:cs="Arial"/>
          <w:color w:val="000000" w:themeColor="text1"/>
          <w:sz w:val="24"/>
          <w:szCs w:val="24"/>
        </w:rPr>
        <w:t xml:space="preserve">the </w:t>
      </w:r>
      <w:proofErr w:type="spellStart"/>
      <w:r w:rsidR="000A1194">
        <w:rPr>
          <w:rFonts w:ascii="Arial" w:hAnsi="Arial" w:cs="Arial"/>
          <w:color w:val="000000" w:themeColor="text1"/>
          <w:sz w:val="24"/>
          <w:szCs w:val="24"/>
        </w:rPr>
        <w:t>Carrickmore</w:t>
      </w:r>
      <w:proofErr w:type="spellEnd"/>
      <w:r w:rsidR="000A1194">
        <w:rPr>
          <w:rFonts w:ascii="Arial" w:hAnsi="Arial" w:cs="Arial"/>
          <w:color w:val="000000" w:themeColor="text1"/>
          <w:sz w:val="24"/>
          <w:szCs w:val="24"/>
        </w:rPr>
        <w:t xml:space="preserve"> Hills</w:t>
      </w:r>
      <w:r w:rsidR="00672E4F" w:rsidRPr="00D80D50">
        <w:rPr>
          <w:rFonts w:ascii="Arial" w:hAnsi="Arial" w:cs="Arial"/>
          <w:color w:val="000000" w:themeColor="text1"/>
          <w:sz w:val="24"/>
          <w:szCs w:val="24"/>
        </w:rPr>
        <w:t xml:space="preserve"> LCA, which</w:t>
      </w:r>
      <w:r w:rsidR="000A1194">
        <w:rPr>
          <w:rFonts w:ascii="Arial" w:hAnsi="Arial" w:cs="Arial"/>
          <w:color w:val="000000" w:themeColor="text1"/>
          <w:sz w:val="24"/>
          <w:szCs w:val="24"/>
        </w:rPr>
        <w:t>, although it is an area of uplands, has experienced</w:t>
      </w:r>
      <w:r w:rsidR="00672E4F" w:rsidRPr="00D80D50">
        <w:rPr>
          <w:rFonts w:ascii="Arial" w:hAnsi="Arial" w:cs="Arial"/>
          <w:color w:val="000000" w:themeColor="text1"/>
          <w:sz w:val="24"/>
          <w:szCs w:val="24"/>
        </w:rPr>
        <w:t xml:space="preserve"> very high pressure. </w:t>
      </w:r>
      <w:r w:rsidR="001B0271">
        <w:rPr>
          <w:rFonts w:ascii="Arial" w:hAnsi="Arial" w:cs="Arial"/>
          <w:color w:val="000000" w:themeColor="text1"/>
          <w:sz w:val="24"/>
          <w:szCs w:val="24"/>
        </w:rPr>
        <w:t xml:space="preserve">  </w:t>
      </w:r>
      <w:r w:rsidR="00A7407B">
        <w:rPr>
          <w:rFonts w:ascii="Arial" w:hAnsi="Arial" w:cs="Arial"/>
          <w:color w:val="000000" w:themeColor="text1"/>
          <w:sz w:val="24"/>
          <w:szCs w:val="24"/>
        </w:rPr>
        <w:t xml:space="preserve"> </w:t>
      </w:r>
    </w:p>
    <w:p w:rsidR="00ED6592" w:rsidRDefault="00ED6592" w:rsidP="00384661">
      <w:pPr>
        <w:pStyle w:val="EndnoteText"/>
        <w:autoSpaceDE w:val="0"/>
        <w:autoSpaceDN w:val="0"/>
        <w:adjustRightInd w:val="0"/>
        <w:ind w:left="720" w:hanging="720"/>
        <w:rPr>
          <w:rFonts w:ascii="Arial" w:hAnsi="Arial" w:cs="Arial"/>
          <w:color w:val="000000" w:themeColor="text1"/>
          <w:sz w:val="24"/>
          <w:szCs w:val="24"/>
        </w:rPr>
      </w:pPr>
    </w:p>
    <w:p w:rsidR="00853F5B" w:rsidRDefault="00853F5B" w:rsidP="00384661">
      <w:pPr>
        <w:pStyle w:val="EndnoteText"/>
        <w:autoSpaceDE w:val="0"/>
        <w:autoSpaceDN w:val="0"/>
        <w:adjustRightInd w:val="0"/>
        <w:ind w:left="720" w:hanging="720"/>
        <w:rPr>
          <w:rFonts w:ascii="Arial" w:hAnsi="Arial" w:cs="Arial"/>
          <w:color w:val="000000" w:themeColor="text1"/>
          <w:sz w:val="24"/>
          <w:szCs w:val="24"/>
        </w:rPr>
      </w:pPr>
    </w:p>
    <w:p w:rsidR="000A1194" w:rsidRDefault="000A1194" w:rsidP="00384661">
      <w:pPr>
        <w:pStyle w:val="EndnoteText"/>
        <w:autoSpaceDE w:val="0"/>
        <w:autoSpaceDN w:val="0"/>
        <w:adjustRightInd w:val="0"/>
        <w:ind w:left="720" w:hanging="720"/>
        <w:rPr>
          <w:rFonts w:ascii="Arial" w:hAnsi="Arial" w:cs="Arial"/>
          <w:color w:val="000000" w:themeColor="text1"/>
          <w:sz w:val="24"/>
          <w:szCs w:val="24"/>
        </w:rPr>
      </w:pPr>
    </w:p>
    <w:p w:rsidR="000A1194" w:rsidRDefault="000A1194" w:rsidP="00384661">
      <w:pPr>
        <w:pStyle w:val="EndnoteText"/>
        <w:autoSpaceDE w:val="0"/>
        <w:autoSpaceDN w:val="0"/>
        <w:adjustRightInd w:val="0"/>
        <w:ind w:left="720" w:hanging="720"/>
        <w:rPr>
          <w:rFonts w:ascii="Arial" w:hAnsi="Arial" w:cs="Arial"/>
          <w:color w:val="000000" w:themeColor="text1"/>
          <w:sz w:val="24"/>
          <w:szCs w:val="24"/>
        </w:rPr>
      </w:pPr>
    </w:p>
    <w:p w:rsidR="000A1194" w:rsidRDefault="000A1194" w:rsidP="00384661">
      <w:pPr>
        <w:pStyle w:val="EndnoteText"/>
        <w:autoSpaceDE w:val="0"/>
        <w:autoSpaceDN w:val="0"/>
        <w:adjustRightInd w:val="0"/>
        <w:ind w:left="720" w:hanging="720"/>
        <w:rPr>
          <w:rFonts w:ascii="Arial" w:hAnsi="Arial" w:cs="Arial"/>
          <w:color w:val="000000" w:themeColor="text1"/>
          <w:sz w:val="24"/>
          <w:szCs w:val="24"/>
        </w:rPr>
      </w:pPr>
    </w:p>
    <w:p w:rsidR="00853F5B" w:rsidRDefault="00B20F58" w:rsidP="00384661">
      <w:pPr>
        <w:pStyle w:val="EndnoteText"/>
        <w:autoSpaceDE w:val="0"/>
        <w:autoSpaceDN w:val="0"/>
        <w:adjustRightInd w:val="0"/>
        <w:ind w:left="720" w:hanging="720"/>
        <w:rPr>
          <w:rFonts w:ascii="Arial" w:hAnsi="Arial" w:cs="Arial"/>
          <w:b/>
          <w:color w:val="000000" w:themeColor="text1"/>
          <w:sz w:val="24"/>
          <w:szCs w:val="24"/>
        </w:rPr>
      </w:pPr>
      <w:r>
        <w:rPr>
          <w:rFonts w:ascii="Arial" w:hAnsi="Arial" w:cs="Arial"/>
          <w:color w:val="000000" w:themeColor="text1"/>
          <w:sz w:val="24"/>
          <w:szCs w:val="24"/>
        </w:rPr>
        <w:lastRenderedPageBreak/>
        <w:tab/>
      </w:r>
      <w:r w:rsidR="00E04BC1" w:rsidRPr="00E04BC1">
        <w:rPr>
          <w:rFonts w:ascii="Arial" w:hAnsi="Arial" w:cs="Arial"/>
          <w:b/>
          <w:color w:val="000000" w:themeColor="text1"/>
          <w:sz w:val="24"/>
          <w:szCs w:val="24"/>
        </w:rPr>
        <w:t xml:space="preserve">NILCA’s which are </w:t>
      </w:r>
      <w:r w:rsidR="00094C59">
        <w:rPr>
          <w:rFonts w:ascii="Arial" w:hAnsi="Arial" w:cs="Arial"/>
          <w:b/>
          <w:color w:val="000000" w:themeColor="text1"/>
          <w:sz w:val="24"/>
          <w:szCs w:val="24"/>
        </w:rPr>
        <w:t>‘</w:t>
      </w:r>
      <w:r w:rsidR="00E04BC1" w:rsidRPr="00E04BC1">
        <w:rPr>
          <w:rFonts w:ascii="Arial" w:hAnsi="Arial" w:cs="Arial"/>
          <w:b/>
          <w:color w:val="000000" w:themeColor="text1"/>
          <w:sz w:val="24"/>
          <w:szCs w:val="24"/>
        </w:rPr>
        <w:t>sensitive to change</w:t>
      </w:r>
      <w:r w:rsidR="00094C59">
        <w:rPr>
          <w:rFonts w:ascii="Arial" w:hAnsi="Arial" w:cs="Arial"/>
          <w:b/>
          <w:color w:val="000000" w:themeColor="text1"/>
          <w:sz w:val="24"/>
          <w:szCs w:val="24"/>
        </w:rPr>
        <w:t>’</w:t>
      </w:r>
      <w:r w:rsidR="00E04BC1" w:rsidRPr="00E04BC1">
        <w:rPr>
          <w:rFonts w:ascii="Arial" w:hAnsi="Arial" w:cs="Arial"/>
          <w:b/>
          <w:color w:val="000000" w:themeColor="text1"/>
          <w:sz w:val="24"/>
          <w:szCs w:val="24"/>
        </w:rPr>
        <w:t xml:space="preserve"> as identified by </w:t>
      </w:r>
      <w:r w:rsidR="00324DF9">
        <w:rPr>
          <w:rFonts w:ascii="Arial" w:hAnsi="Arial" w:cs="Arial"/>
          <w:b/>
          <w:color w:val="000000" w:themeColor="text1"/>
          <w:sz w:val="24"/>
          <w:szCs w:val="24"/>
        </w:rPr>
        <w:t xml:space="preserve">the </w:t>
      </w:r>
      <w:r w:rsidR="00E04BC1" w:rsidRPr="00E04BC1">
        <w:rPr>
          <w:rFonts w:ascii="Arial" w:hAnsi="Arial" w:cs="Arial"/>
          <w:b/>
          <w:color w:val="000000" w:themeColor="text1"/>
          <w:sz w:val="24"/>
          <w:szCs w:val="24"/>
        </w:rPr>
        <w:t>Landscape Character Assessment (Paper 14)</w:t>
      </w:r>
    </w:p>
    <w:p w:rsidR="00E04BC1" w:rsidRDefault="00E04BC1" w:rsidP="00384661">
      <w:pPr>
        <w:pStyle w:val="EndnoteText"/>
        <w:autoSpaceDE w:val="0"/>
        <w:autoSpaceDN w:val="0"/>
        <w:adjustRightInd w:val="0"/>
        <w:ind w:left="720" w:hanging="720"/>
        <w:rPr>
          <w:rFonts w:ascii="Arial" w:hAnsi="Arial" w:cs="Arial"/>
          <w:b/>
          <w:color w:val="000000" w:themeColor="text1"/>
          <w:sz w:val="24"/>
          <w:szCs w:val="24"/>
        </w:rPr>
      </w:pPr>
    </w:p>
    <w:p w:rsidR="00B20F58" w:rsidRDefault="000A1194" w:rsidP="00384661">
      <w:pPr>
        <w:pStyle w:val="EndnoteText"/>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 xml:space="preserve"> 6.6</w:t>
      </w:r>
      <w:r w:rsidR="00B20F58">
        <w:rPr>
          <w:rFonts w:ascii="Arial" w:hAnsi="Arial" w:cs="Arial"/>
          <w:color w:val="000000" w:themeColor="text1"/>
          <w:sz w:val="24"/>
          <w:szCs w:val="24"/>
        </w:rPr>
        <w:t xml:space="preserve">    </w:t>
      </w:r>
      <w:r w:rsidR="002122CA">
        <w:rPr>
          <w:rFonts w:ascii="Arial" w:hAnsi="Arial" w:cs="Arial"/>
          <w:color w:val="000000" w:themeColor="text1"/>
          <w:sz w:val="24"/>
          <w:szCs w:val="24"/>
        </w:rPr>
        <w:t xml:space="preserve">The following 12 Northern Ireland Landscape Character Areas (NILCA’s) are </w:t>
      </w:r>
    </w:p>
    <w:p w:rsidR="00853F5B" w:rsidRDefault="00B20F58" w:rsidP="008B4ABE">
      <w:pPr>
        <w:pStyle w:val="EndnoteText"/>
        <w:autoSpaceDE w:val="0"/>
        <w:autoSpaceDN w:val="0"/>
        <w:adjustRightInd w:val="0"/>
        <w:ind w:left="709" w:firstLine="11"/>
        <w:rPr>
          <w:rFonts w:ascii="Arial" w:hAnsi="Arial" w:cs="Arial"/>
          <w:color w:val="000000" w:themeColor="text1"/>
          <w:sz w:val="24"/>
          <w:szCs w:val="24"/>
        </w:rPr>
      </w:pPr>
      <w:r>
        <w:rPr>
          <w:rFonts w:ascii="Arial" w:hAnsi="Arial" w:cs="Arial"/>
          <w:color w:val="000000" w:themeColor="text1"/>
          <w:sz w:val="24"/>
          <w:szCs w:val="24"/>
        </w:rPr>
        <w:t>described in the Landscape Assessment Paper as being vulnerable to change (See map 5):</w:t>
      </w:r>
    </w:p>
    <w:p w:rsidR="001844A1" w:rsidRDefault="00026035" w:rsidP="00384661">
      <w:pPr>
        <w:pStyle w:val="EndnoteText"/>
        <w:numPr>
          <w:ilvl w:val="0"/>
          <w:numId w:val="10"/>
        </w:numPr>
        <w:autoSpaceDE w:val="0"/>
        <w:autoSpaceDN w:val="0"/>
        <w:adjustRightInd w:val="0"/>
        <w:ind w:left="709" w:firstLine="0"/>
        <w:rPr>
          <w:rFonts w:ascii="Arial" w:hAnsi="Arial" w:cs="Arial"/>
          <w:color w:val="000000" w:themeColor="text1"/>
          <w:sz w:val="24"/>
          <w:szCs w:val="24"/>
        </w:rPr>
      </w:pPr>
      <w:r w:rsidRPr="001844A1">
        <w:rPr>
          <w:rFonts w:ascii="Arial" w:hAnsi="Arial" w:cs="Arial"/>
          <w:color w:val="000000" w:themeColor="text1"/>
          <w:sz w:val="24"/>
          <w:szCs w:val="24"/>
        </w:rPr>
        <w:t>Garrison Lowland</w:t>
      </w:r>
      <w:r w:rsidR="009A13B9">
        <w:rPr>
          <w:rFonts w:ascii="Arial" w:hAnsi="Arial" w:cs="Arial"/>
          <w:color w:val="000000" w:themeColor="text1"/>
          <w:sz w:val="24"/>
          <w:szCs w:val="24"/>
        </w:rPr>
        <w:t xml:space="preserve"> </w:t>
      </w:r>
      <w:r w:rsidR="001844A1" w:rsidRPr="001844A1">
        <w:rPr>
          <w:rFonts w:ascii="Arial" w:hAnsi="Arial" w:cs="Arial"/>
          <w:color w:val="000000" w:themeColor="text1"/>
          <w:sz w:val="24"/>
          <w:szCs w:val="24"/>
        </w:rPr>
        <w:t>LCA 1</w:t>
      </w:r>
      <w:r w:rsidRPr="001844A1">
        <w:rPr>
          <w:rFonts w:ascii="Arial" w:hAnsi="Arial" w:cs="Arial"/>
          <w:color w:val="000000" w:themeColor="text1"/>
          <w:sz w:val="24"/>
          <w:szCs w:val="24"/>
        </w:rPr>
        <w:t xml:space="preserve">; </w:t>
      </w:r>
    </w:p>
    <w:p w:rsidR="001844A1" w:rsidRDefault="006E0CC6" w:rsidP="00384661">
      <w:pPr>
        <w:pStyle w:val="EndnoteText"/>
        <w:numPr>
          <w:ilvl w:val="0"/>
          <w:numId w:val="10"/>
        </w:numPr>
        <w:autoSpaceDE w:val="0"/>
        <w:autoSpaceDN w:val="0"/>
        <w:adjustRightInd w:val="0"/>
        <w:ind w:left="709" w:firstLine="0"/>
        <w:rPr>
          <w:rFonts w:ascii="Arial" w:hAnsi="Arial" w:cs="Arial"/>
          <w:color w:val="000000" w:themeColor="text1"/>
          <w:sz w:val="24"/>
          <w:szCs w:val="24"/>
        </w:rPr>
      </w:pPr>
      <w:r>
        <w:rPr>
          <w:rFonts w:ascii="Arial" w:hAnsi="Arial" w:cs="Arial"/>
          <w:color w:val="000000" w:themeColor="text1"/>
          <w:sz w:val="24"/>
          <w:szCs w:val="24"/>
        </w:rPr>
        <w:t xml:space="preserve">Lower </w:t>
      </w:r>
      <w:r w:rsidR="00026035" w:rsidRPr="001844A1">
        <w:rPr>
          <w:rFonts w:ascii="Arial" w:hAnsi="Arial" w:cs="Arial"/>
          <w:color w:val="000000" w:themeColor="text1"/>
          <w:sz w:val="24"/>
          <w:szCs w:val="24"/>
        </w:rPr>
        <w:t>Lough Erne</w:t>
      </w:r>
      <w:r w:rsidR="009A13B9">
        <w:rPr>
          <w:rFonts w:ascii="Arial" w:hAnsi="Arial" w:cs="Arial"/>
          <w:color w:val="000000" w:themeColor="text1"/>
          <w:sz w:val="24"/>
          <w:szCs w:val="24"/>
        </w:rPr>
        <w:t xml:space="preserve"> </w:t>
      </w:r>
      <w:r w:rsidR="001844A1" w:rsidRPr="001844A1">
        <w:rPr>
          <w:rFonts w:ascii="Arial" w:hAnsi="Arial" w:cs="Arial"/>
          <w:color w:val="000000" w:themeColor="text1"/>
          <w:sz w:val="24"/>
          <w:szCs w:val="24"/>
        </w:rPr>
        <w:t>LCA 2;</w:t>
      </w:r>
      <w:r w:rsidR="00026035" w:rsidRPr="001844A1">
        <w:rPr>
          <w:rFonts w:ascii="Arial" w:hAnsi="Arial" w:cs="Arial"/>
          <w:color w:val="000000" w:themeColor="text1"/>
          <w:sz w:val="24"/>
          <w:szCs w:val="24"/>
        </w:rPr>
        <w:t xml:space="preserve"> </w:t>
      </w:r>
    </w:p>
    <w:p w:rsidR="001844A1" w:rsidRDefault="006E0CC6" w:rsidP="00384661">
      <w:pPr>
        <w:pStyle w:val="EndnoteText"/>
        <w:numPr>
          <w:ilvl w:val="0"/>
          <w:numId w:val="10"/>
        </w:numPr>
        <w:autoSpaceDE w:val="0"/>
        <w:autoSpaceDN w:val="0"/>
        <w:adjustRightInd w:val="0"/>
        <w:ind w:left="709" w:firstLine="0"/>
        <w:rPr>
          <w:rFonts w:ascii="Arial" w:hAnsi="Arial" w:cs="Arial"/>
          <w:color w:val="000000" w:themeColor="text1"/>
          <w:sz w:val="24"/>
          <w:szCs w:val="24"/>
        </w:rPr>
      </w:pPr>
      <w:proofErr w:type="spellStart"/>
      <w:r>
        <w:rPr>
          <w:rFonts w:ascii="Arial" w:hAnsi="Arial" w:cs="Arial"/>
          <w:color w:val="000000" w:themeColor="text1"/>
          <w:sz w:val="24"/>
          <w:szCs w:val="24"/>
        </w:rPr>
        <w:t>Croagh</w:t>
      </w:r>
      <w:proofErr w:type="spellEnd"/>
      <w:r>
        <w:rPr>
          <w:rFonts w:ascii="Arial" w:hAnsi="Arial" w:cs="Arial"/>
          <w:color w:val="000000" w:themeColor="text1"/>
          <w:sz w:val="24"/>
          <w:szCs w:val="24"/>
        </w:rPr>
        <w:t xml:space="preserve"> and </w:t>
      </w:r>
      <w:proofErr w:type="spellStart"/>
      <w:r>
        <w:rPr>
          <w:rFonts w:ascii="Arial" w:hAnsi="Arial" w:cs="Arial"/>
          <w:color w:val="000000" w:themeColor="text1"/>
          <w:sz w:val="24"/>
          <w:szCs w:val="24"/>
        </w:rPr>
        <w:t>Garvar</w:t>
      </w:r>
      <w:r w:rsidR="00026035" w:rsidRPr="001844A1">
        <w:rPr>
          <w:rFonts w:ascii="Arial" w:hAnsi="Arial" w:cs="Arial"/>
          <w:color w:val="000000" w:themeColor="text1"/>
          <w:sz w:val="24"/>
          <w:szCs w:val="24"/>
        </w:rPr>
        <w:t>y</w:t>
      </w:r>
      <w:proofErr w:type="spellEnd"/>
      <w:r w:rsidR="00026035" w:rsidRPr="001844A1">
        <w:rPr>
          <w:rFonts w:ascii="Arial" w:hAnsi="Arial" w:cs="Arial"/>
          <w:color w:val="000000" w:themeColor="text1"/>
          <w:sz w:val="24"/>
          <w:szCs w:val="24"/>
        </w:rPr>
        <w:t xml:space="preserve"> River LCA 3; </w:t>
      </w:r>
    </w:p>
    <w:p w:rsidR="001844A1" w:rsidRDefault="00026035" w:rsidP="00384661">
      <w:pPr>
        <w:pStyle w:val="EndnoteText"/>
        <w:numPr>
          <w:ilvl w:val="0"/>
          <w:numId w:val="10"/>
        </w:numPr>
        <w:autoSpaceDE w:val="0"/>
        <w:autoSpaceDN w:val="0"/>
        <w:adjustRightInd w:val="0"/>
        <w:ind w:left="709" w:firstLine="0"/>
        <w:rPr>
          <w:rFonts w:ascii="Arial" w:hAnsi="Arial" w:cs="Arial"/>
          <w:color w:val="000000" w:themeColor="text1"/>
          <w:sz w:val="24"/>
          <w:szCs w:val="24"/>
        </w:rPr>
      </w:pPr>
      <w:r w:rsidRPr="001844A1">
        <w:rPr>
          <w:rFonts w:ascii="Arial" w:hAnsi="Arial" w:cs="Arial"/>
          <w:color w:val="000000" w:themeColor="text1"/>
          <w:sz w:val="24"/>
          <w:szCs w:val="24"/>
        </w:rPr>
        <w:t xml:space="preserve">Lough </w:t>
      </w:r>
      <w:proofErr w:type="spellStart"/>
      <w:r w:rsidRPr="001844A1">
        <w:rPr>
          <w:rFonts w:ascii="Arial" w:hAnsi="Arial" w:cs="Arial"/>
          <w:color w:val="000000" w:themeColor="text1"/>
          <w:sz w:val="24"/>
          <w:szCs w:val="24"/>
        </w:rPr>
        <w:t>Navar</w:t>
      </w:r>
      <w:proofErr w:type="spellEnd"/>
      <w:r w:rsidRPr="001844A1">
        <w:rPr>
          <w:rFonts w:ascii="Arial" w:hAnsi="Arial" w:cs="Arial"/>
          <w:color w:val="000000" w:themeColor="text1"/>
          <w:sz w:val="24"/>
          <w:szCs w:val="24"/>
        </w:rPr>
        <w:t xml:space="preserve"> and </w:t>
      </w:r>
      <w:proofErr w:type="spellStart"/>
      <w:r w:rsidRPr="001844A1">
        <w:rPr>
          <w:rFonts w:ascii="Arial" w:hAnsi="Arial" w:cs="Arial"/>
          <w:color w:val="000000" w:themeColor="text1"/>
          <w:sz w:val="24"/>
          <w:szCs w:val="24"/>
        </w:rPr>
        <w:t>Ballintempo</w:t>
      </w:r>
      <w:proofErr w:type="spellEnd"/>
      <w:r w:rsidRPr="001844A1">
        <w:rPr>
          <w:rFonts w:ascii="Arial" w:hAnsi="Arial" w:cs="Arial"/>
          <w:color w:val="000000" w:themeColor="text1"/>
          <w:sz w:val="24"/>
          <w:szCs w:val="24"/>
        </w:rPr>
        <w:t xml:space="preserve"> Upland LCA 4; </w:t>
      </w:r>
    </w:p>
    <w:p w:rsidR="001844A1" w:rsidRDefault="00026035" w:rsidP="00384661">
      <w:pPr>
        <w:pStyle w:val="EndnoteText"/>
        <w:numPr>
          <w:ilvl w:val="0"/>
          <w:numId w:val="10"/>
        </w:numPr>
        <w:autoSpaceDE w:val="0"/>
        <w:autoSpaceDN w:val="0"/>
        <w:adjustRightInd w:val="0"/>
        <w:ind w:left="709" w:firstLine="0"/>
        <w:rPr>
          <w:rFonts w:ascii="Arial" w:hAnsi="Arial" w:cs="Arial"/>
          <w:color w:val="000000" w:themeColor="text1"/>
          <w:sz w:val="24"/>
          <w:szCs w:val="24"/>
        </w:rPr>
      </w:pPr>
      <w:r w:rsidRPr="001844A1">
        <w:rPr>
          <w:rFonts w:ascii="Arial" w:hAnsi="Arial" w:cs="Arial"/>
          <w:color w:val="000000" w:themeColor="text1"/>
          <w:sz w:val="24"/>
          <w:szCs w:val="24"/>
        </w:rPr>
        <w:t xml:space="preserve">Lough </w:t>
      </w:r>
      <w:proofErr w:type="spellStart"/>
      <w:r w:rsidRPr="001844A1">
        <w:rPr>
          <w:rFonts w:ascii="Arial" w:hAnsi="Arial" w:cs="Arial"/>
          <w:color w:val="000000" w:themeColor="text1"/>
          <w:sz w:val="24"/>
          <w:szCs w:val="24"/>
        </w:rPr>
        <w:t>Macnean</w:t>
      </w:r>
      <w:proofErr w:type="spellEnd"/>
      <w:r w:rsidRPr="001844A1">
        <w:rPr>
          <w:rFonts w:ascii="Arial" w:hAnsi="Arial" w:cs="Arial"/>
          <w:color w:val="000000" w:themeColor="text1"/>
          <w:sz w:val="24"/>
          <w:szCs w:val="24"/>
        </w:rPr>
        <w:t xml:space="preserve"> Valley LCA 5; </w:t>
      </w:r>
    </w:p>
    <w:p w:rsidR="001844A1" w:rsidRDefault="00026035" w:rsidP="00384661">
      <w:pPr>
        <w:pStyle w:val="EndnoteText"/>
        <w:numPr>
          <w:ilvl w:val="0"/>
          <w:numId w:val="10"/>
        </w:numPr>
        <w:autoSpaceDE w:val="0"/>
        <w:autoSpaceDN w:val="0"/>
        <w:adjustRightInd w:val="0"/>
        <w:ind w:left="709" w:firstLine="0"/>
        <w:rPr>
          <w:rFonts w:ascii="Arial" w:hAnsi="Arial" w:cs="Arial"/>
          <w:color w:val="000000" w:themeColor="text1"/>
          <w:sz w:val="24"/>
          <w:szCs w:val="24"/>
        </w:rPr>
      </w:pPr>
      <w:proofErr w:type="spellStart"/>
      <w:r w:rsidRPr="001844A1">
        <w:rPr>
          <w:rFonts w:ascii="Arial" w:hAnsi="Arial" w:cs="Arial"/>
          <w:color w:val="000000" w:themeColor="text1"/>
          <w:sz w:val="24"/>
          <w:szCs w:val="24"/>
        </w:rPr>
        <w:t>Knockmore</w:t>
      </w:r>
      <w:proofErr w:type="spellEnd"/>
      <w:r w:rsidRPr="001844A1">
        <w:rPr>
          <w:rFonts w:ascii="Arial" w:hAnsi="Arial" w:cs="Arial"/>
          <w:color w:val="000000" w:themeColor="text1"/>
          <w:sz w:val="24"/>
          <w:szCs w:val="24"/>
        </w:rPr>
        <w:t xml:space="preserve"> </w:t>
      </w:r>
      <w:proofErr w:type="spellStart"/>
      <w:r w:rsidRPr="001844A1">
        <w:rPr>
          <w:rFonts w:ascii="Arial" w:hAnsi="Arial" w:cs="Arial"/>
          <w:color w:val="000000" w:themeColor="text1"/>
          <w:sz w:val="24"/>
          <w:szCs w:val="24"/>
        </w:rPr>
        <w:t>Scarpland</w:t>
      </w:r>
      <w:proofErr w:type="spellEnd"/>
      <w:r w:rsidRPr="001844A1">
        <w:rPr>
          <w:rFonts w:ascii="Arial" w:hAnsi="Arial" w:cs="Arial"/>
          <w:color w:val="000000" w:themeColor="text1"/>
          <w:sz w:val="24"/>
          <w:szCs w:val="24"/>
        </w:rPr>
        <w:t xml:space="preserve"> LCA 6; </w:t>
      </w:r>
    </w:p>
    <w:p w:rsidR="001844A1" w:rsidRDefault="00026035" w:rsidP="00384661">
      <w:pPr>
        <w:pStyle w:val="EndnoteText"/>
        <w:numPr>
          <w:ilvl w:val="0"/>
          <w:numId w:val="10"/>
        </w:numPr>
        <w:autoSpaceDE w:val="0"/>
        <w:autoSpaceDN w:val="0"/>
        <w:adjustRightInd w:val="0"/>
        <w:ind w:left="709" w:firstLine="0"/>
        <w:rPr>
          <w:rFonts w:ascii="Arial" w:hAnsi="Arial" w:cs="Arial"/>
          <w:color w:val="000000" w:themeColor="text1"/>
          <w:sz w:val="24"/>
          <w:szCs w:val="24"/>
        </w:rPr>
      </w:pPr>
      <w:proofErr w:type="spellStart"/>
      <w:r w:rsidRPr="001844A1">
        <w:rPr>
          <w:rFonts w:ascii="Arial" w:hAnsi="Arial" w:cs="Arial"/>
          <w:color w:val="000000" w:themeColor="text1"/>
          <w:sz w:val="24"/>
          <w:szCs w:val="24"/>
        </w:rPr>
        <w:t>Cuilcagh</w:t>
      </w:r>
      <w:proofErr w:type="spellEnd"/>
      <w:r w:rsidRPr="001844A1">
        <w:rPr>
          <w:rFonts w:ascii="Arial" w:hAnsi="Arial" w:cs="Arial"/>
          <w:color w:val="000000" w:themeColor="text1"/>
          <w:sz w:val="24"/>
          <w:szCs w:val="24"/>
        </w:rPr>
        <w:t xml:space="preserve"> and </w:t>
      </w:r>
      <w:proofErr w:type="spellStart"/>
      <w:r w:rsidRPr="001844A1">
        <w:rPr>
          <w:rFonts w:ascii="Arial" w:hAnsi="Arial" w:cs="Arial"/>
          <w:color w:val="000000" w:themeColor="text1"/>
          <w:sz w:val="24"/>
          <w:szCs w:val="24"/>
        </w:rPr>
        <w:t>Marlbank</w:t>
      </w:r>
      <w:proofErr w:type="spellEnd"/>
      <w:r w:rsidRPr="001844A1">
        <w:rPr>
          <w:rFonts w:ascii="Arial" w:hAnsi="Arial" w:cs="Arial"/>
          <w:color w:val="000000" w:themeColor="text1"/>
          <w:sz w:val="24"/>
          <w:szCs w:val="24"/>
        </w:rPr>
        <w:t xml:space="preserve"> LCA 9; </w:t>
      </w:r>
    </w:p>
    <w:p w:rsidR="001844A1" w:rsidRDefault="009A13B9" w:rsidP="00384661">
      <w:pPr>
        <w:pStyle w:val="EndnoteText"/>
        <w:numPr>
          <w:ilvl w:val="0"/>
          <w:numId w:val="10"/>
        </w:numPr>
        <w:autoSpaceDE w:val="0"/>
        <w:autoSpaceDN w:val="0"/>
        <w:adjustRightInd w:val="0"/>
        <w:ind w:left="709" w:firstLine="0"/>
        <w:rPr>
          <w:rFonts w:ascii="Arial" w:hAnsi="Arial" w:cs="Arial"/>
          <w:color w:val="000000" w:themeColor="text1"/>
          <w:sz w:val="24"/>
          <w:szCs w:val="24"/>
        </w:rPr>
      </w:pPr>
      <w:r>
        <w:rPr>
          <w:rFonts w:ascii="Arial" w:hAnsi="Arial" w:cs="Arial"/>
          <w:color w:val="000000" w:themeColor="text1"/>
          <w:sz w:val="24"/>
          <w:szCs w:val="24"/>
        </w:rPr>
        <w:t xml:space="preserve">Upper Lough Erne </w:t>
      </w:r>
      <w:r w:rsidR="00E04BC1" w:rsidRPr="001844A1">
        <w:rPr>
          <w:rFonts w:ascii="Arial" w:hAnsi="Arial" w:cs="Arial"/>
          <w:color w:val="000000" w:themeColor="text1"/>
          <w:sz w:val="24"/>
          <w:szCs w:val="24"/>
        </w:rPr>
        <w:t xml:space="preserve">LCA 11; </w:t>
      </w:r>
    </w:p>
    <w:p w:rsidR="001844A1" w:rsidRDefault="009A13B9" w:rsidP="00384661">
      <w:pPr>
        <w:pStyle w:val="EndnoteText"/>
        <w:numPr>
          <w:ilvl w:val="0"/>
          <w:numId w:val="10"/>
        </w:numPr>
        <w:autoSpaceDE w:val="0"/>
        <w:autoSpaceDN w:val="0"/>
        <w:adjustRightInd w:val="0"/>
        <w:ind w:left="709" w:firstLine="0"/>
        <w:rPr>
          <w:rFonts w:ascii="Arial" w:hAnsi="Arial" w:cs="Arial"/>
          <w:color w:val="000000" w:themeColor="text1"/>
          <w:sz w:val="24"/>
          <w:szCs w:val="24"/>
        </w:rPr>
      </w:pPr>
      <w:r>
        <w:rPr>
          <w:rFonts w:ascii="Arial" w:hAnsi="Arial" w:cs="Arial"/>
          <w:color w:val="000000" w:themeColor="text1"/>
          <w:sz w:val="24"/>
          <w:szCs w:val="24"/>
        </w:rPr>
        <w:t xml:space="preserve">Enniskillen </w:t>
      </w:r>
      <w:r w:rsidR="002122CA" w:rsidRPr="001844A1">
        <w:rPr>
          <w:rFonts w:ascii="Arial" w:hAnsi="Arial" w:cs="Arial"/>
          <w:color w:val="000000" w:themeColor="text1"/>
          <w:sz w:val="24"/>
          <w:szCs w:val="24"/>
        </w:rPr>
        <w:t xml:space="preserve">LCA 13; </w:t>
      </w:r>
    </w:p>
    <w:p w:rsidR="001844A1" w:rsidRDefault="002122CA" w:rsidP="00384661">
      <w:pPr>
        <w:pStyle w:val="EndnoteText"/>
        <w:numPr>
          <w:ilvl w:val="0"/>
          <w:numId w:val="10"/>
        </w:numPr>
        <w:autoSpaceDE w:val="0"/>
        <w:autoSpaceDN w:val="0"/>
        <w:adjustRightInd w:val="0"/>
        <w:ind w:left="709" w:firstLine="0"/>
        <w:rPr>
          <w:rFonts w:ascii="Arial" w:hAnsi="Arial" w:cs="Arial"/>
          <w:color w:val="000000" w:themeColor="text1"/>
          <w:sz w:val="24"/>
          <w:szCs w:val="24"/>
        </w:rPr>
      </w:pPr>
      <w:proofErr w:type="spellStart"/>
      <w:r w:rsidRPr="001844A1">
        <w:rPr>
          <w:rFonts w:ascii="Arial" w:hAnsi="Arial" w:cs="Arial"/>
          <w:color w:val="000000" w:themeColor="text1"/>
          <w:sz w:val="24"/>
          <w:szCs w:val="24"/>
        </w:rPr>
        <w:t>Clogher</w:t>
      </w:r>
      <w:proofErr w:type="spellEnd"/>
      <w:r w:rsidRPr="001844A1">
        <w:rPr>
          <w:rFonts w:ascii="Arial" w:hAnsi="Arial" w:cs="Arial"/>
          <w:color w:val="000000" w:themeColor="text1"/>
          <w:sz w:val="24"/>
          <w:szCs w:val="24"/>
        </w:rPr>
        <w:t xml:space="preserve"> Valley </w:t>
      </w:r>
      <w:r w:rsidR="006E0CC6">
        <w:rPr>
          <w:rFonts w:ascii="Arial" w:hAnsi="Arial" w:cs="Arial"/>
          <w:color w:val="000000" w:themeColor="text1"/>
          <w:sz w:val="24"/>
          <w:szCs w:val="24"/>
        </w:rPr>
        <w:t xml:space="preserve">Lowlands </w:t>
      </w:r>
      <w:r w:rsidRPr="001844A1">
        <w:rPr>
          <w:rFonts w:ascii="Arial" w:hAnsi="Arial" w:cs="Arial"/>
          <w:color w:val="000000" w:themeColor="text1"/>
          <w:sz w:val="24"/>
          <w:szCs w:val="24"/>
        </w:rPr>
        <w:t>LCA 17;</w:t>
      </w:r>
    </w:p>
    <w:p w:rsidR="001844A1" w:rsidRDefault="009A13B9" w:rsidP="00384661">
      <w:pPr>
        <w:pStyle w:val="EndnoteText"/>
        <w:numPr>
          <w:ilvl w:val="0"/>
          <w:numId w:val="10"/>
        </w:numPr>
        <w:autoSpaceDE w:val="0"/>
        <w:autoSpaceDN w:val="0"/>
        <w:adjustRightInd w:val="0"/>
        <w:ind w:left="709" w:firstLine="0"/>
        <w:rPr>
          <w:rFonts w:ascii="Arial" w:hAnsi="Arial" w:cs="Arial"/>
          <w:color w:val="000000" w:themeColor="text1"/>
          <w:sz w:val="24"/>
          <w:szCs w:val="24"/>
        </w:rPr>
      </w:pPr>
      <w:r>
        <w:rPr>
          <w:rFonts w:ascii="Arial" w:hAnsi="Arial" w:cs="Arial"/>
          <w:color w:val="000000" w:themeColor="text1"/>
          <w:sz w:val="24"/>
          <w:szCs w:val="24"/>
        </w:rPr>
        <w:t xml:space="preserve">South Sperrin </w:t>
      </w:r>
      <w:r w:rsidR="00094C59" w:rsidRPr="001844A1">
        <w:rPr>
          <w:rFonts w:ascii="Arial" w:hAnsi="Arial" w:cs="Arial"/>
          <w:color w:val="000000" w:themeColor="text1"/>
          <w:sz w:val="24"/>
          <w:szCs w:val="24"/>
        </w:rPr>
        <w:t xml:space="preserve">LCA 24; </w:t>
      </w:r>
    </w:p>
    <w:p w:rsidR="00026035" w:rsidRDefault="00094C59" w:rsidP="00384661">
      <w:pPr>
        <w:pStyle w:val="EndnoteText"/>
        <w:numPr>
          <w:ilvl w:val="0"/>
          <w:numId w:val="10"/>
        </w:numPr>
        <w:autoSpaceDE w:val="0"/>
        <w:autoSpaceDN w:val="0"/>
        <w:adjustRightInd w:val="0"/>
        <w:ind w:left="709" w:firstLine="0"/>
        <w:rPr>
          <w:rFonts w:ascii="Arial" w:hAnsi="Arial" w:cs="Arial"/>
          <w:color w:val="000000" w:themeColor="text1"/>
          <w:sz w:val="24"/>
          <w:szCs w:val="24"/>
        </w:rPr>
      </w:pPr>
      <w:r w:rsidRPr="001844A1">
        <w:rPr>
          <w:rFonts w:ascii="Arial" w:hAnsi="Arial" w:cs="Arial"/>
          <w:color w:val="000000" w:themeColor="text1"/>
          <w:sz w:val="24"/>
          <w:szCs w:val="24"/>
        </w:rPr>
        <w:t xml:space="preserve">Bessy Bell </w:t>
      </w:r>
      <w:r w:rsidR="001844A1" w:rsidRPr="001844A1">
        <w:rPr>
          <w:rFonts w:ascii="Arial" w:hAnsi="Arial" w:cs="Arial"/>
          <w:color w:val="000000" w:themeColor="text1"/>
          <w:sz w:val="24"/>
          <w:szCs w:val="24"/>
        </w:rPr>
        <w:t xml:space="preserve">and Gortin </w:t>
      </w:r>
      <w:r w:rsidRPr="001844A1">
        <w:rPr>
          <w:rFonts w:ascii="Arial" w:hAnsi="Arial" w:cs="Arial"/>
          <w:color w:val="000000" w:themeColor="text1"/>
          <w:sz w:val="24"/>
          <w:szCs w:val="24"/>
        </w:rPr>
        <w:t xml:space="preserve">LCA </w:t>
      </w:r>
      <w:r w:rsidR="001844A1" w:rsidRPr="001844A1">
        <w:rPr>
          <w:rFonts w:ascii="Arial" w:hAnsi="Arial" w:cs="Arial"/>
          <w:color w:val="000000" w:themeColor="text1"/>
          <w:sz w:val="24"/>
          <w:szCs w:val="24"/>
        </w:rPr>
        <w:t xml:space="preserve">26; </w:t>
      </w:r>
    </w:p>
    <w:p w:rsidR="00AB2C0D" w:rsidRPr="001844A1" w:rsidRDefault="00AB2C0D" w:rsidP="00384661">
      <w:pPr>
        <w:pStyle w:val="EndnoteText"/>
        <w:autoSpaceDE w:val="0"/>
        <w:autoSpaceDN w:val="0"/>
        <w:adjustRightInd w:val="0"/>
        <w:ind w:left="709"/>
        <w:rPr>
          <w:rFonts w:ascii="Arial" w:hAnsi="Arial" w:cs="Arial"/>
          <w:color w:val="000000" w:themeColor="text1"/>
          <w:sz w:val="24"/>
          <w:szCs w:val="24"/>
        </w:rPr>
      </w:pPr>
    </w:p>
    <w:p w:rsidR="001844A1" w:rsidRDefault="001844A1" w:rsidP="00384661">
      <w:pPr>
        <w:pStyle w:val="EndnoteText"/>
        <w:autoSpaceDE w:val="0"/>
        <w:autoSpaceDN w:val="0"/>
        <w:adjustRightInd w:val="0"/>
        <w:ind w:left="709"/>
        <w:rPr>
          <w:rFonts w:ascii="Arial" w:hAnsi="Arial" w:cs="Arial"/>
          <w:color w:val="000000" w:themeColor="text1"/>
          <w:sz w:val="24"/>
          <w:szCs w:val="24"/>
        </w:rPr>
      </w:pPr>
    </w:p>
    <w:p w:rsidR="001844A1" w:rsidRDefault="000A1194" w:rsidP="00384661">
      <w:pPr>
        <w:pStyle w:val="EndnoteText"/>
        <w:autoSpaceDE w:val="0"/>
        <w:autoSpaceDN w:val="0"/>
        <w:adjustRightInd w:val="0"/>
        <w:ind w:left="709" w:hanging="709"/>
        <w:rPr>
          <w:rFonts w:ascii="Arial" w:hAnsi="Arial" w:cs="Arial"/>
          <w:color w:val="000000" w:themeColor="text1"/>
          <w:sz w:val="24"/>
          <w:szCs w:val="24"/>
        </w:rPr>
      </w:pPr>
      <w:r>
        <w:rPr>
          <w:rFonts w:ascii="Arial" w:hAnsi="Arial" w:cs="Arial"/>
          <w:color w:val="000000" w:themeColor="text1"/>
          <w:sz w:val="24"/>
          <w:szCs w:val="24"/>
        </w:rPr>
        <w:t>6.7</w:t>
      </w:r>
      <w:r w:rsidR="00AA171A">
        <w:rPr>
          <w:rFonts w:ascii="Arial" w:hAnsi="Arial" w:cs="Arial"/>
          <w:color w:val="000000" w:themeColor="text1"/>
          <w:sz w:val="24"/>
          <w:szCs w:val="24"/>
        </w:rPr>
        <w:t xml:space="preserve">    </w:t>
      </w:r>
      <w:r w:rsidR="00AA171A">
        <w:rPr>
          <w:rFonts w:ascii="Arial" w:hAnsi="Arial" w:cs="Arial"/>
          <w:color w:val="000000" w:themeColor="text1"/>
          <w:sz w:val="24"/>
          <w:szCs w:val="24"/>
        </w:rPr>
        <w:tab/>
      </w:r>
      <w:r w:rsidR="001844A1">
        <w:rPr>
          <w:rFonts w:ascii="Arial" w:hAnsi="Arial" w:cs="Arial"/>
          <w:color w:val="000000" w:themeColor="text1"/>
          <w:sz w:val="24"/>
          <w:szCs w:val="24"/>
        </w:rPr>
        <w:t>From the pressure analysis studies, it is clear that the development pressure</w:t>
      </w:r>
      <w:r w:rsidR="00AA171A">
        <w:rPr>
          <w:rFonts w:ascii="Arial" w:hAnsi="Arial" w:cs="Arial"/>
          <w:color w:val="000000" w:themeColor="text1"/>
          <w:sz w:val="24"/>
          <w:szCs w:val="24"/>
        </w:rPr>
        <w:t xml:space="preserve"> </w:t>
      </w:r>
      <w:r w:rsidR="00BA7BD2">
        <w:rPr>
          <w:rFonts w:ascii="Arial" w:hAnsi="Arial" w:cs="Arial"/>
          <w:color w:val="000000" w:themeColor="text1"/>
          <w:sz w:val="24"/>
          <w:szCs w:val="24"/>
        </w:rPr>
        <w:t>from single rural dwellings</w:t>
      </w:r>
      <w:r w:rsidR="001844A1">
        <w:rPr>
          <w:rFonts w:ascii="Arial" w:hAnsi="Arial" w:cs="Arial"/>
          <w:color w:val="000000" w:themeColor="text1"/>
          <w:sz w:val="24"/>
          <w:szCs w:val="24"/>
        </w:rPr>
        <w:t xml:space="preserve"> within </w:t>
      </w:r>
      <w:r w:rsidR="001B0271">
        <w:rPr>
          <w:rFonts w:ascii="Arial" w:hAnsi="Arial" w:cs="Arial"/>
          <w:color w:val="000000" w:themeColor="text1"/>
          <w:sz w:val="24"/>
          <w:szCs w:val="24"/>
        </w:rPr>
        <w:t>the vulnerable</w:t>
      </w:r>
      <w:r w:rsidR="009A13B9">
        <w:rPr>
          <w:rFonts w:ascii="Arial" w:hAnsi="Arial" w:cs="Arial"/>
          <w:color w:val="000000" w:themeColor="text1"/>
          <w:sz w:val="24"/>
          <w:szCs w:val="24"/>
        </w:rPr>
        <w:t xml:space="preserve"> </w:t>
      </w:r>
      <w:r w:rsidR="001844A1">
        <w:rPr>
          <w:rFonts w:ascii="Arial" w:hAnsi="Arial" w:cs="Arial"/>
          <w:color w:val="000000" w:themeColor="text1"/>
          <w:sz w:val="24"/>
          <w:szCs w:val="24"/>
        </w:rPr>
        <w:t xml:space="preserve">LCA’s is </w:t>
      </w:r>
      <w:r w:rsidR="00DE325E">
        <w:rPr>
          <w:rFonts w:ascii="Arial" w:hAnsi="Arial" w:cs="Arial"/>
          <w:color w:val="000000" w:themeColor="text1"/>
          <w:sz w:val="24"/>
          <w:szCs w:val="24"/>
        </w:rPr>
        <w:t xml:space="preserve">generally </w:t>
      </w:r>
      <w:r w:rsidR="001844A1">
        <w:rPr>
          <w:rFonts w:ascii="Arial" w:hAnsi="Arial" w:cs="Arial"/>
          <w:color w:val="000000" w:themeColor="text1"/>
          <w:sz w:val="24"/>
          <w:szCs w:val="24"/>
        </w:rPr>
        <w:t>at a low level</w:t>
      </w:r>
      <w:r w:rsidR="001B0271">
        <w:rPr>
          <w:rFonts w:ascii="Arial" w:hAnsi="Arial" w:cs="Arial"/>
          <w:color w:val="000000" w:themeColor="text1"/>
          <w:sz w:val="24"/>
          <w:szCs w:val="24"/>
        </w:rPr>
        <w:t xml:space="preserve">. </w:t>
      </w:r>
      <w:r w:rsidR="00324DF9">
        <w:rPr>
          <w:rFonts w:ascii="Arial" w:hAnsi="Arial" w:cs="Arial"/>
          <w:color w:val="000000" w:themeColor="text1"/>
          <w:sz w:val="24"/>
          <w:szCs w:val="24"/>
        </w:rPr>
        <w:t xml:space="preserve"> However, t</w:t>
      </w:r>
      <w:r w:rsidR="001B0271">
        <w:rPr>
          <w:rFonts w:ascii="Arial" w:hAnsi="Arial" w:cs="Arial"/>
          <w:color w:val="000000" w:themeColor="text1"/>
          <w:sz w:val="24"/>
          <w:szCs w:val="24"/>
        </w:rPr>
        <w:t>here are exceptions to this</w:t>
      </w:r>
      <w:r w:rsidR="00324DF9">
        <w:rPr>
          <w:rFonts w:ascii="Arial" w:hAnsi="Arial" w:cs="Arial"/>
          <w:color w:val="000000" w:themeColor="text1"/>
          <w:sz w:val="24"/>
          <w:szCs w:val="24"/>
        </w:rPr>
        <w:t xml:space="preserve">, for example, </w:t>
      </w:r>
      <w:r w:rsidR="001844A1">
        <w:rPr>
          <w:rFonts w:ascii="Arial" w:hAnsi="Arial" w:cs="Arial"/>
          <w:color w:val="000000" w:themeColor="text1"/>
          <w:sz w:val="24"/>
          <w:szCs w:val="24"/>
        </w:rPr>
        <w:t xml:space="preserve">the </w:t>
      </w:r>
      <w:proofErr w:type="spellStart"/>
      <w:r w:rsidR="001844A1">
        <w:rPr>
          <w:rFonts w:ascii="Arial" w:hAnsi="Arial" w:cs="Arial"/>
          <w:color w:val="000000" w:themeColor="text1"/>
          <w:sz w:val="24"/>
          <w:szCs w:val="24"/>
        </w:rPr>
        <w:t>Lattone</w:t>
      </w:r>
      <w:proofErr w:type="spellEnd"/>
      <w:r w:rsidR="001844A1">
        <w:rPr>
          <w:rFonts w:ascii="Arial" w:hAnsi="Arial" w:cs="Arial"/>
          <w:color w:val="000000" w:themeColor="text1"/>
          <w:sz w:val="24"/>
          <w:szCs w:val="24"/>
        </w:rPr>
        <w:t xml:space="preserve"> Road between Garrison and Belcoo/Holywell </w:t>
      </w:r>
      <w:r w:rsidR="006E0CC6">
        <w:rPr>
          <w:rFonts w:ascii="Arial" w:hAnsi="Arial" w:cs="Arial"/>
          <w:color w:val="000000" w:themeColor="text1"/>
          <w:sz w:val="24"/>
          <w:szCs w:val="24"/>
        </w:rPr>
        <w:t xml:space="preserve">(Lough </w:t>
      </w:r>
      <w:proofErr w:type="spellStart"/>
      <w:r w:rsidR="006E0CC6">
        <w:rPr>
          <w:rFonts w:ascii="Arial" w:hAnsi="Arial" w:cs="Arial"/>
          <w:color w:val="000000" w:themeColor="text1"/>
          <w:sz w:val="24"/>
          <w:szCs w:val="24"/>
        </w:rPr>
        <w:t>Navar</w:t>
      </w:r>
      <w:proofErr w:type="spellEnd"/>
      <w:r w:rsidR="006E0CC6">
        <w:rPr>
          <w:rFonts w:ascii="Arial" w:hAnsi="Arial" w:cs="Arial"/>
          <w:color w:val="000000" w:themeColor="text1"/>
          <w:sz w:val="24"/>
          <w:szCs w:val="24"/>
        </w:rPr>
        <w:t xml:space="preserve"> and </w:t>
      </w:r>
      <w:proofErr w:type="spellStart"/>
      <w:r w:rsidR="006E0CC6">
        <w:rPr>
          <w:rFonts w:ascii="Arial" w:hAnsi="Arial" w:cs="Arial"/>
          <w:color w:val="000000" w:themeColor="text1"/>
          <w:sz w:val="24"/>
          <w:szCs w:val="24"/>
        </w:rPr>
        <w:t>Ballintempo</w:t>
      </w:r>
      <w:proofErr w:type="spellEnd"/>
      <w:r w:rsidR="006E0CC6">
        <w:rPr>
          <w:rFonts w:ascii="Arial" w:hAnsi="Arial" w:cs="Arial"/>
          <w:color w:val="000000" w:themeColor="text1"/>
          <w:sz w:val="24"/>
          <w:szCs w:val="24"/>
        </w:rPr>
        <w:t xml:space="preserve"> Upland LCA</w:t>
      </w:r>
      <w:r w:rsidR="00FA06DA">
        <w:rPr>
          <w:rFonts w:ascii="Arial" w:hAnsi="Arial" w:cs="Arial"/>
          <w:color w:val="000000" w:themeColor="text1"/>
          <w:sz w:val="24"/>
          <w:szCs w:val="24"/>
        </w:rPr>
        <w:t xml:space="preserve"> </w:t>
      </w:r>
      <w:r w:rsidR="006E0CC6">
        <w:rPr>
          <w:rFonts w:ascii="Arial" w:hAnsi="Arial" w:cs="Arial"/>
          <w:color w:val="000000" w:themeColor="text1"/>
          <w:sz w:val="24"/>
          <w:szCs w:val="24"/>
        </w:rPr>
        <w:t xml:space="preserve">4 and Lough </w:t>
      </w:r>
      <w:proofErr w:type="spellStart"/>
      <w:r w:rsidR="006E0CC6">
        <w:rPr>
          <w:rFonts w:ascii="Arial" w:hAnsi="Arial" w:cs="Arial"/>
          <w:color w:val="000000" w:themeColor="text1"/>
          <w:sz w:val="24"/>
          <w:szCs w:val="24"/>
        </w:rPr>
        <w:t>Macnean</w:t>
      </w:r>
      <w:proofErr w:type="spellEnd"/>
      <w:r w:rsidR="006E0CC6">
        <w:rPr>
          <w:rFonts w:ascii="Arial" w:hAnsi="Arial" w:cs="Arial"/>
          <w:color w:val="000000" w:themeColor="text1"/>
          <w:sz w:val="24"/>
          <w:szCs w:val="24"/>
        </w:rPr>
        <w:t xml:space="preserve"> Valley LCA 5) </w:t>
      </w:r>
      <w:r w:rsidR="001B0271">
        <w:rPr>
          <w:rFonts w:ascii="Arial" w:hAnsi="Arial" w:cs="Arial"/>
          <w:color w:val="000000" w:themeColor="text1"/>
          <w:sz w:val="24"/>
          <w:szCs w:val="24"/>
        </w:rPr>
        <w:t xml:space="preserve">which </w:t>
      </w:r>
      <w:r w:rsidR="001844A1">
        <w:rPr>
          <w:rFonts w:ascii="Arial" w:hAnsi="Arial" w:cs="Arial"/>
          <w:color w:val="000000" w:themeColor="text1"/>
          <w:sz w:val="24"/>
          <w:szCs w:val="24"/>
        </w:rPr>
        <w:t>exhibits a linear pressure along much</w:t>
      </w:r>
      <w:r w:rsidR="002D5D5F">
        <w:rPr>
          <w:rFonts w:ascii="Arial" w:hAnsi="Arial" w:cs="Arial"/>
          <w:color w:val="000000" w:themeColor="text1"/>
          <w:sz w:val="24"/>
          <w:szCs w:val="24"/>
        </w:rPr>
        <w:t xml:space="preserve"> of its length, possibly due to</w:t>
      </w:r>
      <w:r w:rsidR="001844A1">
        <w:rPr>
          <w:rFonts w:ascii="Arial" w:hAnsi="Arial" w:cs="Arial"/>
          <w:color w:val="000000" w:themeColor="text1"/>
          <w:sz w:val="24"/>
          <w:szCs w:val="24"/>
        </w:rPr>
        <w:t xml:space="preserve"> the fact that the steep </w:t>
      </w:r>
      <w:r w:rsidR="002D5D5F">
        <w:rPr>
          <w:rFonts w:ascii="Arial" w:hAnsi="Arial" w:cs="Arial"/>
          <w:color w:val="000000" w:themeColor="text1"/>
          <w:sz w:val="24"/>
          <w:szCs w:val="24"/>
        </w:rPr>
        <w:t xml:space="preserve">slopes and forest confine the surrounding land. </w:t>
      </w:r>
    </w:p>
    <w:p w:rsidR="00F96D6B" w:rsidRDefault="00F96D6B" w:rsidP="00384661">
      <w:pPr>
        <w:pStyle w:val="EndnoteText"/>
        <w:autoSpaceDE w:val="0"/>
        <w:autoSpaceDN w:val="0"/>
        <w:adjustRightInd w:val="0"/>
        <w:ind w:left="709"/>
        <w:rPr>
          <w:rFonts w:ascii="Arial" w:hAnsi="Arial" w:cs="Arial"/>
          <w:color w:val="000000" w:themeColor="text1"/>
          <w:sz w:val="24"/>
          <w:szCs w:val="24"/>
        </w:rPr>
      </w:pPr>
    </w:p>
    <w:p w:rsidR="00F96D6B" w:rsidRDefault="000A1194" w:rsidP="00384661">
      <w:pPr>
        <w:pStyle w:val="EndnoteText"/>
        <w:autoSpaceDE w:val="0"/>
        <w:autoSpaceDN w:val="0"/>
        <w:adjustRightInd w:val="0"/>
        <w:ind w:left="709" w:hanging="709"/>
        <w:rPr>
          <w:rFonts w:ascii="Arial" w:hAnsi="Arial" w:cs="Arial"/>
          <w:color w:val="000000" w:themeColor="text1"/>
          <w:sz w:val="24"/>
          <w:szCs w:val="24"/>
        </w:rPr>
      </w:pPr>
      <w:r>
        <w:rPr>
          <w:rFonts w:ascii="Arial" w:hAnsi="Arial" w:cs="Arial"/>
          <w:color w:val="000000" w:themeColor="text1"/>
          <w:sz w:val="24"/>
          <w:szCs w:val="24"/>
        </w:rPr>
        <w:t>6.8</w:t>
      </w:r>
      <w:r w:rsidR="00CD4266">
        <w:rPr>
          <w:rFonts w:ascii="Arial" w:hAnsi="Arial" w:cs="Arial"/>
          <w:color w:val="000000" w:themeColor="text1"/>
          <w:sz w:val="24"/>
          <w:szCs w:val="24"/>
        </w:rPr>
        <w:tab/>
      </w:r>
      <w:r w:rsidR="00F96D6B">
        <w:rPr>
          <w:rFonts w:ascii="Arial" w:hAnsi="Arial" w:cs="Arial"/>
          <w:color w:val="000000" w:themeColor="text1"/>
          <w:sz w:val="24"/>
          <w:szCs w:val="24"/>
        </w:rPr>
        <w:t>There are</w:t>
      </w:r>
      <w:r w:rsidR="001B0271">
        <w:rPr>
          <w:rFonts w:ascii="Arial" w:hAnsi="Arial" w:cs="Arial"/>
          <w:color w:val="000000" w:themeColor="text1"/>
          <w:sz w:val="24"/>
          <w:szCs w:val="24"/>
        </w:rPr>
        <w:t xml:space="preserve"> </w:t>
      </w:r>
      <w:r w:rsidR="00F96D6B">
        <w:rPr>
          <w:rFonts w:ascii="Arial" w:hAnsi="Arial" w:cs="Arial"/>
          <w:color w:val="000000" w:themeColor="text1"/>
          <w:sz w:val="24"/>
          <w:szCs w:val="24"/>
        </w:rPr>
        <w:t xml:space="preserve">some clusters of high pressure </w:t>
      </w:r>
      <w:r w:rsidR="00DC3A94">
        <w:rPr>
          <w:rFonts w:ascii="Arial" w:hAnsi="Arial" w:cs="Arial"/>
          <w:color w:val="000000" w:themeColor="text1"/>
          <w:sz w:val="24"/>
          <w:szCs w:val="24"/>
        </w:rPr>
        <w:t>close to the Lower Lough E</w:t>
      </w:r>
      <w:r w:rsidR="00F96D6B">
        <w:rPr>
          <w:rFonts w:ascii="Arial" w:hAnsi="Arial" w:cs="Arial"/>
          <w:color w:val="000000" w:themeColor="text1"/>
          <w:sz w:val="24"/>
          <w:szCs w:val="24"/>
        </w:rPr>
        <w:t>rne shore</w:t>
      </w:r>
      <w:r w:rsidR="00D52E4C">
        <w:rPr>
          <w:rFonts w:ascii="Arial" w:hAnsi="Arial" w:cs="Arial"/>
          <w:color w:val="000000" w:themeColor="text1"/>
          <w:sz w:val="24"/>
          <w:szCs w:val="24"/>
        </w:rPr>
        <w:t xml:space="preserve">, </w:t>
      </w:r>
      <w:r w:rsidR="00F96D6B">
        <w:rPr>
          <w:rFonts w:ascii="Arial" w:hAnsi="Arial" w:cs="Arial"/>
          <w:color w:val="000000" w:themeColor="text1"/>
          <w:sz w:val="24"/>
          <w:szCs w:val="24"/>
        </w:rPr>
        <w:t>east of Belleek and another one close to Boa Is</w:t>
      </w:r>
      <w:r w:rsidR="001B0271">
        <w:rPr>
          <w:rFonts w:ascii="Arial" w:hAnsi="Arial" w:cs="Arial"/>
          <w:color w:val="000000" w:themeColor="text1"/>
          <w:sz w:val="24"/>
          <w:szCs w:val="24"/>
        </w:rPr>
        <w:t>land (Map 2). These</w:t>
      </w:r>
      <w:r w:rsidR="00F96D6B">
        <w:rPr>
          <w:rFonts w:ascii="Arial" w:hAnsi="Arial" w:cs="Arial"/>
          <w:color w:val="000000" w:themeColor="text1"/>
          <w:sz w:val="24"/>
          <w:szCs w:val="24"/>
        </w:rPr>
        <w:t xml:space="preserve"> fall wit</w:t>
      </w:r>
      <w:r w:rsidR="009A13B9">
        <w:rPr>
          <w:rFonts w:ascii="Arial" w:hAnsi="Arial" w:cs="Arial"/>
          <w:color w:val="000000" w:themeColor="text1"/>
          <w:sz w:val="24"/>
          <w:szCs w:val="24"/>
        </w:rPr>
        <w:t xml:space="preserve">hin </w:t>
      </w:r>
      <w:r w:rsidR="008B4ABE">
        <w:rPr>
          <w:rFonts w:ascii="Arial" w:hAnsi="Arial" w:cs="Arial"/>
          <w:color w:val="000000" w:themeColor="text1"/>
          <w:sz w:val="24"/>
          <w:szCs w:val="24"/>
        </w:rPr>
        <w:t>LCA</w:t>
      </w:r>
      <w:r w:rsidR="006E0CC6">
        <w:rPr>
          <w:rFonts w:ascii="Arial" w:hAnsi="Arial" w:cs="Arial"/>
          <w:color w:val="000000" w:themeColor="text1"/>
          <w:sz w:val="24"/>
          <w:szCs w:val="24"/>
        </w:rPr>
        <w:t xml:space="preserve"> 3 </w:t>
      </w:r>
      <w:proofErr w:type="spellStart"/>
      <w:r w:rsidR="006E0CC6">
        <w:rPr>
          <w:rFonts w:ascii="Arial" w:hAnsi="Arial" w:cs="Arial"/>
          <w:color w:val="000000" w:themeColor="text1"/>
          <w:sz w:val="24"/>
          <w:szCs w:val="24"/>
        </w:rPr>
        <w:t>Croagh</w:t>
      </w:r>
      <w:proofErr w:type="spellEnd"/>
      <w:r w:rsidR="006E0CC6">
        <w:rPr>
          <w:rFonts w:ascii="Arial" w:hAnsi="Arial" w:cs="Arial"/>
          <w:color w:val="000000" w:themeColor="text1"/>
          <w:sz w:val="24"/>
          <w:szCs w:val="24"/>
        </w:rPr>
        <w:t xml:space="preserve"> and </w:t>
      </w:r>
      <w:proofErr w:type="spellStart"/>
      <w:r w:rsidR="006E0CC6">
        <w:rPr>
          <w:rFonts w:ascii="Arial" w:hAnsi="Arial" w:cs="Arial"/>
          <w:color w:val="000000" w:themeColor="text1"/>
          <w:sz w:val="24"/>
          <w:szCs w:val="24"/>
        </w:rPr>
        <w:t>Garvary</w:t>
      </w:r>
      <w:proofErr w:type="spellEnd"/>
      <w:r w:rsidR="00F96D6B">
        <w:rPr>
          <w:rFonts w:ascii="Arial" w:hAnsi="Arial" w:cs="Arial"/>
          <w:color w:val="000000" w:themeColor="text1"/>
          <w:sz w:val="24"/>
          <w:szCs w:val="24"/>
        </w:rPr>
        <w:t xml:space="preserve"> River</w:t>
      </w:r>
      <w:r w:rsidR="006E0CC6">
        <w:rPr>
          <w:rFonts w:ascii="Arial" w:hAnsi="Arial" w:cs="Arial"/>
          <w:color w:val="000000" w:themeColor="text1"/>
          <w:sz w:val="24"/>
          <w:szCs w:val="24"/>
        </w:rPr>
        <w:t xml:space="preserve"> and </w:t>
      </w:r>
      <w:r w:rsidR="008B4ABE">
        <w:rPr>
          <w:rFonts w:ascii="Arial" w:hAnsi="Arial" w:cs="Arial"/>
          <w:color w:val="000000" w:themeColor="text1"/>
          <w:sz w:val="24"/>
          <w:szCs w:val="24"/>
        </w:rPr>
        <w:t xml:space="preserve">LCA </w:t>
      </w:r>
      <w:r w:rsidR="006E0CC6">
        <w:rPr>
          <w:rFonts w:ascii="Arial" w:hAnsi="Arial" w:cs="Arial"/>
          <w:color w:val="000000" w:themeColor="text1"/>
          <w:sz w:val="24"/>
          <w:szCs w:val="24"/>
        </w:rPr>
        <w:t>2 Lower Lough Erne</w:t>
      </w:r>
      <w:r w:rsidR="00F96D6B">
        <w:rPr>
          <w:rFonts w:ascii="Arial" w:hAnsi="Arial" w:cs="Arial"/>
          <w:color w:val="000000" w:themeColor="text1"/>
          <w:sz w:val="24"/>
          <w:szCs w:val="24"/>
        </w:rPr>
        <w:t xml:space="preserve">, which </w:t>
      </w:r>
      <w:r w:rsidR="006E0CC6">
        <w:rPr>
          <w:rFonts w:ascii="Arial" w:hAnsi="Arial" w:cs="Arial"/>
          <w:color w:val="000000" w:themeColor="text1"/>
          <w:sz w:val="24"/>
          <w:szCs w:val="24"/>
        </w:rPr>
        <w:t>are two of</w:t>
      </w:r>
      <w:r w:rsidR="009A13B9">
        <w:rPr>
          <w:rFonts w:ascii="Arial" w:hAnsi="Arial" w:cs="Arial"/>
          <w:color w:val="000000" w:themeColor="text1"/>
          <w:sz w:val="24"/>
          <w:szCs w:val="24"/>
        </w:rPr>
        <w:t xml:space="preserve"> the </w:t>
      </w:r>
      <w:r w:rsidR="00324DF9">
        <w:rPr>
          <w:rFonts w:ascii="Arial" w:hAnsi="Arial" w:cs="Arial"/>
          <w:color w:val="000000" w:themeColor="text1"/>
          <w:sz w:val="24"/>
          <w:szCs w:val="24"/>
        </w:rPr>
        <w:t>LCA</w:t>
      </w:r>
      <w:r w:rsidR="00F96D6B">
        <w:rPr>
          <w:rFonts w:ascii="Arial" w:hAnsi="Arial" w:cs="Arial"/>
          <w:color w:val="000000" w:themeColor="text1"/>
          <w:sz w:val="24"/>
          <w:szCs w:val="24"/>
        </w:rPr>
        <w:t>s identified in the Lands</w:t>
      </w:r>
      <w:r w:rsidR="006E0CC6">
        <w:rPr>
          <w:rFonts w:ascii="Arial" w:hAnsi="Arial" w:cs="Arial"/>
          <w:color w:val="000000" w:themeColor="text1"/>
          <w:sz w:val="24"/>
          <w:szCs w:val="24"/>
        </w:rPr>
        <w:t xml:space="preserve">cape Assessment as being vulnerable </w:t>
      </w:r>
      <w:r w:rsidR="00F96D6B">
        <w:rPr>
          <w:rFonts w:ascii="Arial" w:hAnsi="Arial" w:cs="Arial"/>
          <w:color w:val="000000" w:themeColor="text1"/>
          <w:sz w:val="24"/>
          <w:szCs w:val="24"/>
        </w:rPr>
        <w:t xml:space="preserve">to change. </w:t>
      </w:r>
    </w:p>
    <w:p w:rsidR="006E0CC6" w:rsidRDefault="006E0CC6" w:rsidP="00384661">
      <w:pPr>
        <w:pStyle w:val="ListParagraph"/>
        <w:rPr>
          <w:rFonts w:ascii="Arial" w:hAnsi="Arial" w:cs="Arial"/>
          <w:color w:val="000000" w:themeColor="text1"/>
          <w:sz w:val="24"/>
          <w:szCs w:val="24"/>
        </w:rPr>
      </w:pPr>
    </w:p>
    <w:p w:rsidR="006E0CC6" w:rsidRDefault="000A1194" w:rsidP="00384661">
      <w:pPr>
        <w:pStyle w:val="EndnoteText"/>
        <w:autoSpaceDE w:val="0"/>
        <w:autoSpaceDN w:val="0"/>
        <w:adjustRightInd w:val="0"/>
        <w:ind w:left="709" w:hanging="709"/>
        <w:rPr>
          <w:rFonts w:ascii="Arial" w:hAnsi="Arial" w:cs="Arial"/>
          <w:color w:val="000000" w:themeColor="text1"/>
          <w:sz w:val="24"/>
          <w:szCs w:val="24"/>
        </w:rPr>
      </w:pPr>
      <w:r>
        <w:rPr>
          <w:rFonts w:ascii="Arial" w:hAnsi="Arial" w:cs="Arial"/>
          <w:color w:val="000000" w:themeColor="text1"/>
          <w:sz w:val="24"/>
          <w:szCs w:val="24"/>
        </w:rPr>
        <w:t>6.9</w:t>
      </w:r>
      <w:r w:rsidR="00CD4266">
        <w:rPr>
          <w:rFonts w:ascii="Arial" w:hAnsi="Arial" w:cs="Arial"/>
          <w:color w:val="000000" w:themeColor="text1"/>
          <w:sz w:val="24"/>
          <w:szCs w:val="24"/>
        </w:rPr>
        <w:tab/>
      </w:r>
      <w:r w:rsidR="006E0CC6">
        <w:rPr>
          <w:rFonts w:ascii="Arial" w:hAnsi="Arial" w:cs="Arial"/>
          <w:color w:val="000000" w:themeColor="text1"/>
          <w:sz w:val="24"/>
          <w:szCs w:val="24"/>
        </w:rPr>
        <w:t xml:space="preserve">There is an area of pressure to the east of the Strule Valley in LCA 26 Bessy Bell and Gortin which correspond generally with the hinterlands of </w:t>
      </w:r>
      <w:proofErr w:type="spellStart"/>
      <w:r w:rsidR="006E0CC6">
        <w:rPr>
          <w:rFonts w:ascii="Arial" w:hAnsi="Arial" w:cs="Arial"/>
          <w:color w:val="000000" w:themeColor="text1"/>
          <w:sz w:val="24"/>
          <w:szCs w:val="24"/>
        </w:rPr>
        <w:t>Tircur</w:t>
      </w:r>
      <w:proofErr w:type="spellEnd"/>
      <w:r w:rsidR="006E0CC6">
        <w:rPr>
          <w:rFonts w:ascii="Arial" w:hAnsi="Arial" w:cs="Arial"/>
          <w:color w:val="000000" w:themeColor="text1"/>
          <w:sz w:val="24"/>
          <w:szCs w:val="24"/>
        </w:rPr>
        <w:t xml:space="preserve">, </w:t>
      </w:r>
      <w:proofErr w:type="spellStart"/>
      <w:r w:rsidR="006E0CC6">
        <w:rPr>
          <w:rFonts w:ascii="Arial" w:hAnsi="Arial" w:cs="Arial"/>
          <w:color w:val="000000" w:themeColor="text1"/>
          <w:sz w:val="24"/>
          <w:szCs w:val="24"/>
        </w:rPr>
        <w:t>Dunmullan</w:t>
      </w:r>
      <w:proofErr w:type="spellEnd"/>
      <w:r w:rsidR="006E0CC6">
        <w:rPr>
          <w:rFonts w:ascii="Arial" w:hAnsi="Arial" w:cs="Arial"/>
          <w:color w:val="000000" w:themeColor="text1"/>
          <w:sz w:val="24"/>
          <w:szCs w:val="24"/>
        </w:rPr>
        <w:t xml:space="preserve">, </w:t>
      </w:r>
      <w:proofErr w:type="spellStart"/>
      <w:r w:rsidR="006E0CC6">
        <w:rPr>
          <w:rFonts w:ascii="Arial" w:hAnsi="Arial" w:cs="Arial"/>
          <w:color w:val="000000" w:themeColor="text1"/>
          <w:sz w:val="24"/>
          <w:szCs w:val="24"/>
        </w:rPr>
        <w:t>Knockmoyle</w:t>
      </w:r>
      <w:proofErr w:type="spellEnd"/>
      <w:r w:rsidR="006E0CC6">
        <w:rPr>
          <w:rFonts w:ascii="Arial" w:hAnsi="Arial" w:cs="Arial"/>
          <w:color w:val="000000" w:themeColor="text1"/>
          <w:sz w:val="24"/>
          <w:szCs w:val="24"/>
        </w:rPr>
        <w:t xml:space="preserve"> and </w:t>
      </w:r>
      <w:proofErr w:type="spellStart"/>
      <w:r w:rsidR="006E0CC6">
        <w:rPr>
          <w:rFonts w:ascii="Arial" w:hAnsi="Arial" w:cs="Arial"/>
          <w:color w:val="000000" w:themeColor="text1"/>
          <w:sz w:val="24"/>
          <w:szCs w:val="24"/>
        </w:rPr>
        <w:t>Gortnag</w:t>
      </w:r>
      <w:r w:rsidR="009A13B9">
        <w:rPr>
          <w:rFonts w:ascii="Arial" w:hAnsi="Arial" w:cs="Arial"/>
          <w:color w:val="000000" w:themeColor="text1"/>
          <w:sz w:val="24"/>
          <w:szCs w:val="24"/>
        </w:rPr>
        <w:t>arn</w:t>
      </w:r>
      <w:proofErr w:type="spellEnd"/>
      <w:r w:rsidR="009A13B9">
        <w:rPr>
          <w:rFonts w:ascii="Arial" w:hAnsi="Arial" w:cs="Arial"/>
          <w:color w:val="000000" w:themeColor="text1"/>
          <w:sz w:val="24"/>
          <w:szCs w:val="24"/>
        </w:rPr>
        <w:t xml:space="preserve">.  </w:t>
      </w:r>
      <w:proofErr w:type="spellStart"/>
      <w:r w:rsidR="009A13B9">
        <w:rPr>
          <w:rFonts w:ascii="Arial" w:hAnsi="Arial" w:cs="Arial"/>
          <w:color w:val="000000" w:themeColor="text1"/>
          <w:sz w:val="24"/>
          <w:szCs w:val="24"/>
        </w:rPr>
        <w:t>Clogher</w:t>
      </w:r>
      <w:proofErr w:type="spellEnd"/>
      <w:r w:rsidR="009A13B9">
        <w:rPr>
          <w:rFonts w:ascii="Arial" w:hAnsi="Arial" w:cs="Arial"/>
          <w:color w:val="000000" w:themeColor="text1"/>
          <w:sz w:val="24"/>
          <w:szCs w:val="24"/>
        </w:rPr>
        <w:t xml:space="preserve"> Valley Lowlands </w:t>
      </w:r>
      <w:r w:rsidR="006E0CC6">
        <w:rPr>
          <w:rFonts w:ascii="Arial" w:hAnsi="Arial" w:cs="Arial"/>
          <w:color w:val="000000" w:themeColor="text1"/>
          <w:sz w:val="24"/>
          <w:szCs w:val="24"/>
        </w:rPr>
        <w:t xml:space="preserve">LCA has experienced quite a high level of development pressure with </w:t>
      </w:r>
      <w:r w:rsidR="00BA7BD2">
        <w:rPr>
          <w:rFonts w:ascii="Arial" w:hAnsi="Arial" w:cs="Arial"/>
          <w:color w:val="000000" w:themeColor="text1"/>
          <w:sz w:val="24"/>
          <w:szCs w:val="24"/>
        </w:rPr>
        <w:t>a hot spot/cluster of development pressure in the Lisbellaw/</w:t>
      </w:r>
      <w:proofErr w:type="spellStart"/>
      <w:r w:rsidR="00BA7BD2">
        <w:rPr>
          <w:rFonts w:ascii="Arial" w:hAnsi="Arial" w:cs="Arial"/>
          <w:color w:val="000000" w:themeColor="text1"/>
          <w:sz w:val="24"/>
          <w:szCs w:val="24"/>
        </w:rPr>
        <w:t>Maguiresbridge</w:t>
      </w:r>
      <w:proofErr w:type="spellEnd"/>
      <w:r w:rsidR="00BA7BD2">
        <w:rPr>
          <w:rFonts w:ascii="Arial" w:hAnsi="Arial" w:cs="Arial"/>
          <w:color w:val="000000" w:themeColor="text1"/>
          <w:sz w:val="24"/>
          <w:szCs w:val="24"/>
        </w:rPr>
        <w:t xml:space="preserve"> area (Map 2).  Map 2 also shows a lower level of clustering throughout </w:t>
      </w:r>
      <w:r w:rsidR="00A7407B">
        <w:rPr>
          <w:rFonts w:ascii="Arial" w:hAnsi="Arial" w:cs="Arial"/>
          <w:color w:val="000000" w:themeColor="text1"/>
          <w:sz w:val="24"/>
          <w:szCs w:val="24"/>
        </w:rPr>
        <w:t xml:space="preserve">much </w:t>
      </w:r>
      <w:r w:rsidR="00BA7BD2">
        <w:rPr>
          <w:rFonts w:ascii="Arial" w:hAnsi="Arial" w:cs="Arial"/>
          <w:color w:val="000000" w:themeColor="text1"/>
          <w:sz w:val="24"/>
          <w:szCs w:val="24"/>
        </w:rPr>
        <w:t>the remainder of</w:t>
      </w:r>
      <w:r w:rsidR="009A13B9">
        <w:rPr>
          <w:rFonts w:ascii="Arial" w:hAnsi="Arial" w:cs="Arial"/>
          <w:color w:val="000000" w:themeColor="text1"/>
          <w:sz w:val="24"/>
          <w:szCs w:val="24"/>
        </w:rPr>
        <w:t xml:space="preserve"> the </w:t>
      </w:r>
      <w:proofErr w:type="spellStart"/>
      <w:r w:rsidR="009A13B9">
        <w:rPr>
          <w:rFonts w:ascii="Arial" w:hAnsi="Arial" w:cs="Arial"/>
          <w:color w:val="000000" w:themeColor="text1"/>
          <w:sz w:val="24"/>
          <w:szCs w:val="24"/>
        </w:rPr>
        <w:t>Clogher</w:t>
      </w:r>
      <w:proofErr w:type="spellEnd"/>
      <w:r w:rsidR="009A13B9">
        <w:rPr>
          <w:rFonts w:ascii="Arial" w:hAnsi="Arial" w:cs="Arial"/>
          <w:color w:val="000000" w:themeColor="text1"/>
          <w:sz w:val="24"/>
          <w:szCs w:val="24"/>
        </w:rPr>
        <w:t xml:space="preserve"> Valley Lowlands (</w:t>
      </w:r>
      <w:r w:rsidR="00BA7BD2">
        <w:rPr>
          <w:rFonts w:ascii="Arial" w:hAnsi="Arial" w:cs="Arial"/>
          <w:color w:val="000000" w:themeColor="text1"/>
          <w:sz w:val="24"/>
          <w:szCs w:val="24"/>
        </w:rPr>
        <w:t xml:space="preserve">LCA15) whilst much of that appears to centre </w:t>
      </w:r>
      <w:proofErr w:type="gramStart"/>
      <w:r w:rsidR="00BA7BD2">
        <w:rPr>
          <w:rFonts w:ascii="Arial" w:hAnsi="Arial" w:cs="Arial"/>
          <w:color w:val="000000" w:themeColor="text1"/>
          <w:sz w:val="24"/>
          <w:szCs w:val="24"/>
        </w:rPr>
        <w:t>around</w:t>
      </w:r>
      <w:proofErr w:type="gramEnd"/>
      <w:r w:rsidR="00BA7BD2">
        <w:rPr>
          <w:rFonts w:ascii="Arial" w:hAnsi="Arial" w:cs="Arial"/>
          <w:color w:val="000000" w:themeColor="text1"/>
          <w:sz w:val="24"/>
          <w:szCs w:val="24"/>
        </w:rPr>
        <w:t xml:space="preserve"> the main road network.  Similarly in the Sou</w:t>
      </w:r>
      <w:r w:rsidR="009A0E55">
        <w:rPr>
          <w:rFonts w:ascii="Arial" w:hAnsi="Arial" w:cs="Arial"/>
          <w:color w:val="000000" w:themeColor="text1"/>
          <w:sz w:val="24"/>
          <w:szCs w:val="24"/>
        </w:rPr>
        <w:t>th Sperrin</w:t>
      </w:r>
      <w:r w:rsidR="00BA7BD2">
        <w:rPr>
          <w:rFonts w:ascii="Arial" w:hAnsi="Arial" w:cs="Arial"/>
          <w:color w:val="000000" w:themeColor="text1"/>
          <w:sz w:val="24"/>
          <w:szCs w:val="24"/>
        </w:rPr>
        <w:t xml:space="preserve"> and </w:t>
      </w:r>
      <w:proofErr w:type="spellStart"/>
      <w:r w:rsidR="00BA7BD2">
        <w:rPr>
          <w:rFonts w:ascii="Arial" w:hAnsi="Arial" w:cs="Arial"/>
          <w:color w:val="000000" w:themeColor="text1"/>
          <w:sz w:val="24"/>
          <w:szCs w:val="24"/>
        </w:rPr>
        <w:t>Beaghmore</w:t>
      </w:r>
      <w:proofErr w:type="spellEnd"/>
      <w:r w:rsidR="00BA7BD2">
        <w:rPr>
          <w:rFonts w:ascii="Arial" w:hAnsi="Arial" w:cs="Arial"/>
          <w:color w:val="000000" w:themeColor="text1"/>
          <w:sz w:val="24"/>
          <w:szCs w:val="24"/>
        </w:rPr>
        <w:t xml:space="preserve"> Moors and Marsh LCAs the main road from Gortin, through </w:t>
      </w:r>
      <w:proofErr w:type="spellStart"/>
      <w:r w:rsidR="00BA7BD2">
        <w:rPr>
          <w:rFonts w:ascii="Arial" w:hAnsi="Arial" w:cs="Arial"/>
          <w:color w:val="000000" w:themeColor="text1"/>
          <w:sz w:val="24"/>
          <w:szCs w:val="24"/>
        </w:rPr>
        <w:t>Rousky</w:t>
      </w:r>
      <w:proofErr w:type="spellEnd"/>
      <w:r w:rsidR="00BA7BD2">
        <w:rPr>
          <w:rFonts w:ascii="Arial" w:hAnsi="Arial" w:cs="Arial"/>
          <w:color w:val="000000" w:themeColor="text1"/>
          <w:sz w:val="24"/>
          <w:szCs w:val="24"/>
        </w:rPr>
        <w:t>, to Greencastle has also experienced pressure.</w:t>
      </w:r>
    </w:p>
    <w:p w:rsidR="00CD4266" w:rsidRDefault="00CD4266" w:rsidP="00384661">
      <w:pPr>
        <w:pStyle w:val="EndnoteText"/>
        <w:autoSpaceDE w:val="0"/>
        <w:autoSpaceDN w:val="0"/>
        <w:adjustRightInd w:val="0"/>
        <w:rPr>
          <w:rFonts w:ascii="Arial" w:hAnsi="Arial" w:cs="Arial"/>
          <w:color w:val="000000" w:themeColor="text1"/>
          <w:sz w:val="24"/>
          <w:szCs w:val="24"/>
        </w:rPr>
      </w:pPr>
    </w:p>
    <w:p w:rsidR="002D5D5F" w:rsidRDefault="000A1194" w:rsidP="00384661">
      <w:pPr>
        <w:pStyle w:val="EndnoteText"/>
        <w:autoSpaceDE w:val="0"/>
        <w:autoSpaceDN w:val="0"/>
        <w:adjustRightInd w:val="0"/>
        <w:ind w:left="709" w:hanging="709"/>
        <w:rPr>
          <w:rFonts w:ascii="Arial" w:hAnsi="Arial" w:cs="Arial"/>
          <w:color w:val="000000" w:themeColor="text1"/>
          <w:sz w:val="24"/>
          <w:szCs w:val="24"/>
        </w:rPr>
      </w:pPr>
      <w:r>
        <w:rPr>
          <w:rFonts w:ascii="Arial" w:hAnsi="Arial" w:cs="Arial"/>
          <w:color w:val="000000" w:themeColor="text1"/>
          <w:sz w:val="24"/>
          <w:szCs w:val="24"/>
        </w:rPr>
        <w:t>6.10</w:t>
      </w:r>
      <w:r w:rsidR="00CD4266">
        <w:rPr>
          <w:rFonts w:ascii="Arial" w:hAnsi="Arial" w:cs="Arial"/>
          <w:color w:val="000000" w:themeColor="text1"/>
          <w:sz w:val="24"/>
          <w:szCs w:val="24"/>
        </w:rPr>
        <w:tab/>
      </w:r>
      <w:r w:rsidR="009A13B9">
        <w:rPr>
          <w:rFonts w:ascii="Arial" w:hAnsi="Arial" w:cs="Arial"/>
          <w:color w:val="000000" w:themeColor="text1"/>
          <w:sz w:val="24"/>
          <w:szCs w:val="24"/>
        </w:rPr>
        <w:t xml:space="preserve">The remainder of the </w:t>
      </w:r>
      <w:r w:rsidR="00324DF9">
        <w:rPr>
          <w:rFonts w:ascii="Arial" w:hAnsi="Arial" w:cs="Arial"/>
          <w:color w:val="000000" w:themeColor="text1"/>
          <w:sz w:val="24"/>
          <w:szCs w:val="24"/>
        </w:rPr>
        <w:t>LCA</w:t>
      </w:r>
      <w:r w:rsidR="002D5D5F" w:rsidRPr="002F7E68">
        <w:rPr>
          <w:rFonts w:ascii="Arial" w:hAnsi="Arial" w:cs="Arial"/>
          <w:color w:val="000000" w:themeColor="text1"/>
          <w:sz w:val="24"/>
          <w:szCs w:val="24"/>
        </w:rPr>
        <w:t xml:space="preserve">s (see paper 14 for more details) are classed as being of ‘medium to low’ or ‘low’ </w:t>
      </w:r>
      <w:r w:rsidR="005D7506" w:rsidRPr="002F7E68">
        <w:rPr>
          <w:rFonts w:ascii="Arial" w:hAnsi="Arial" w:cs="Arial"/>
          <w:color w:val="000000" w:themeColor="text1"/>
          <w:sz w:val="24"/>
          <w:szCs w:val="24"/>
        </w:rPr>
        <w:t>sensitivity</w:t>
      </w:r>
      <w:r w:rsidR="002D5D5F" w:rsidRPr="002F7E68">
        <w:rPr>
          <w:rFonts w:ascii="Arial" w:hAnsi="Arial" w:cs="Arial"/>
          <w:color w:val="000000" w:themeColor="text1"/>
          <w:sz w:val="24"/>
          <w:szCs w:val="24"/>
        </w:rPr>
        <w:t xml:space="preserve"> to change.</w:t>
      </w:r>
      <w:r w:rsidR="005D7506" w:rsidRPr="002F7E68">
        <w:rPr>
          <w:rFonts w:ascii="Arial" w:hAnsi="Arial" w:cs="Arial"/>
          <w:color w:val="000000" w:themeColor="text1"/>
          <w:sz w:val="24"/>
          <w:szCs w:val="24"/>
        </w:rPr>
        <w:t xml:space="preserve"> This correlates with the fact that the predominant development </w:t>
      </w:r>
      <w:r w:rsidR="00ED6592">
        <w:rPr>
          <w:rFonts w:ascii="Arial" w:hAnsi="Arial" w:cs="Arial"/>
          <w:color w:val="000000" w:themeColor="text1"/>
          <w:sz w:val="24"/>
          <w:szCs w:val="24"/>
        </w:rPr>
        <w:t>pressure</w:t>
      </w:r>
      <w:r w:rsidR="005D7506" w:rsidRPr="002F7E68">
        <w:rPr>
          <w:rFonts w:ascii="Arial" w:hAnsi="Arial" w:cs="Arial"/>
          <w:color w:val="000000" w:themeColor="text1"/>
          <w:sz w:val="24"/>
          <w:szCs w:val="24"/>
        </w:rPr>
        <w:t xml:space="preserve"> for single d</w:t>
      </w:r>
      <w:r w:rsidR="00324DF9">
        <w:rPr>
          <w:rFonts w:ascii="Arial" w:hAnsi="Arial" w:cs="Arial"/>
          <w:color w:val="000000" w:themeColor="text1"/>
          <w:sz w:val="24"/>
          <w:szCs w:val="24"/>
        </w:rPr>
        <w:t>wellings occur within these LCA</w:t>
      </w:r>
      <w:r w:rsidR="005D7506" w:rsidRPr="002F7E68">
        <w:rPr>
          <w:rFonts w:ascii="Arial" w:hAnsi="Arial" w:cs="Arial"/>
          <w:color w:val="000000" w:themeColor="text1"/>
          <w:sz w:val="24"/>
          <w:szCs w:val="24"/>
        </w:rPr>
        <w:t>s</w:t>
      </w:r>
      <w:r w:rsidR="00DE325E" w:rsidRPr="002F7E68">
        <w:rPr>
          <w:rFonts w:ascii="Arial" w:hAnsi="Arial" w:cs="Arial"/>
          <w:color w:val="000000" w:themeColor="text1"/>
          <w:sz w:val="24"/>
          <w:szCs w:val="24"/>
        </w:rPr>
        <w:t xml:space="preserve"> (Map 5)</w:t>
      </w:r>
      <w:r w:rsidR="005D7506" w:rsidRPr="002F7E68">
        <w:rPr>
          <w:rFonts w:ascii="Arial" w:hAnsi="Arial" w:cs="Arial"/>
          <w:color w:val="000000" w:themeColor="text1"/>
          <w:sz w:val="24"/>
          <w:szCs w:val="24"/>
        </w:rPr>
        <w:t xml:space="preserve">. </w:t>
      </w:r>
      <w:r w:rsidR="005D5506">
        <w:rPr>
          <w:rFonts w:ascii="Arial" w:hAnsi="Arial" w:cs="Arial"/>
          <w:color w:val="000000" w:themeColor="text1"/>
          <w:sz w:val="24"/>
          <w:szCs w:val="24"/>
        </w:rPr>
        <w:t xml:space="preserve"> </w:t>
      </w:r>
    </w:p>
    <w:p w:rsidR="00A8027D" w:rsidRDefault="00A8027D" w:rsidP="00384661">
      <w:pPr>
        <w:pStyle w:val="EndnoteText"/>
        <w:autoSpaceDE w:val="0"/>
        <w:autoSpaceDN w:val="0"/>
        <w:adjustRightInd w:val="0"/>
        <w:ind w:left="709" w:hanging="709"/>
        <w:rPr>
          <w:rFonts w:ascii="Arial" w:hAnsi="Arial" w:cs="Arial"/>
          <w:color w:val="000000" w:themeColor="text1"/>
          <w:sz w:val="24"/>
          <w:szCs w:val="24"/>
        </w:rPr>
      </w:pPr>
    </w:p>
    <w:p w:rsidR="00A8027D" w:rsidRDefault="000A1194" w:rsidP="00384661">
      <w:pPr>
        <w:pStyle w:val="EndnoteText"/>
        <w:autoSpaceDE w:val="0"/>
        <w:autoSpaceDN w:val="0"/>
        <w:adjustRightInd w:val="0"/>
        <w:ind w:left="709" w:hanging="709"/>
        <w:rPr>
          <w:rFonts w:ascii="Arial" w:hAnsi="Arial" w:cs="Arial"/>
          <w:color w:val="000000" w:themeColor="text1"/>
          <w:sz w:val="24"/>
          <w:szCs w:val="24"/>
        </w:rPr>
      </w:pPr>
      <w:r>
        <w:rPr>
          <w:rFonts w:ascii="Arial" w:hAnsi="Arial" w:cs="Arial"/>
          <w:color w:val="000000" w:themeColor="text1"/>
          <w:sz w:val="24"/>
          <w:szCs w:val="24"/>
        </w:rPr>
        <w:t>6.11</w:t>
      </w:r>
      <w:r w:rsidR="00A8027D">
        <w:rPr>
          <w:rFonts w:ascii="Arial" w:hAnsi="Arial" w:cs="Arial"/>
          <w:color w:val="000000" w:themeColor="text1"/>
          <w:sz w:val="24"/>
          <w:szCs w:val="24"/>
        </w:rPr>
        <w:tab/>
        <w:t>It is important to note the identification of landscape with a reduced capacity to absorb development does not preclude appropriate</w:t>
      </w:r>
      <w:r w:rsidR="00845E87">
        <w:rPr>
          <w:rFonts w:ascii="Arial" w:hAnsi="Arial" w:cs="Arial"/>
          <w:color w:val="000000" w:themeColor="text1"/>
          <w:sz w:val="24"/>
          <w:szCs w:val="24"/>
        </w:rPr>
        <w:t xml:space="preserve"> forms of development within</w:t>
      </w:r>
      <w:r w:rsidR="00A8027D">
        <w:rPr>
          <w:rFonts w:ascii="Arial" w:hAnsi="Arial" w:cs="Arial"/>
          <w:color w:val="000000" w:themeColor="text1"/>
          <w:sz w:val="24"/>
          <w:szCs w:val="24"/>
        </w:rPr>
        <w:t xml:space="preserve"> those areas. </w:t>
      </w:r>
    </w:p>
    <w:p w:rsidR="007C0E46" w:rsidRDefault="007C0E46" w:rsidP="00384661">
      <w:pPr>
        <w:pStyle w:val="ListParagraph"/>
        <w:rPr>
          <w:rFonts w:ascii="Arial" w:hAnsi="Arial" w:cs="Arial"/>
          <w:color w:val="000000" w:themeColor="text1"/>
          <w:sz w:val="24"/>
          <w:szCs w:val="24"/>
        </w:rPr>
      </w:pPr>
    </w:p>
    <w:p w:rsidR="00993455" w:rsidRDefault="000A1194" w:rsidP="00384661">
      <w:pPr>
        <w:pStyle w:val="EndnoteText"/>
        <w:autoSpaceDE w:val="0"/>
        <w:autoSpaceDN w:val="0"/>
        <w:adjustRightInd w:val="0"/>
        <w:ind w:left="709" w:hanging="709"/>
        <w:rPr>
          <w:rFonts w:ascii="Arial" w:hAnsi="Arial" w:cs="Arial"/>
          <w:color w:val="000000" w:themeColor="text1"/>
          <w:sz w:val="24"/>
          <w:szCs w:val="24"/>
        </w:rPr>
      </w:pPr>
      <w:r>
        <w:rPr>
          <w:rFonts w:ascii="Arial" w:hAnsi="Arial" w:cs="Arial"/>
          <w:color w:val="000000" w:themeColor="text1"/>
          <w:sz w:val="24"/>
          <w:szCs w:val="24"/>
        </w:rPr>
        <w:t>6.12</w:t>
      </w:r>
      <w:r w:rsidR="00CD4266">
        <w:rPr>
          <w:rFonts w:ascii="Arial" w:hAnsi="Arial" w:cs="Arial"/>
          <w:color w:val="000000" w:themeColor="text1"/>
          <w:sz w:val="24"/>
          <w:szCs w:val="24"/>
        </w:rPr>
        <w:tab/>
      </w:r>
      <w:r w:rsidR="007C0E46">
        <w:rPr>
          <w:rFonts w:ascii="Arial" w:hAnsi="Arial" w:cs="Arial"/>
          <w:color w:val="000000" w:themeColor="text1"/>
          <w:sz w:val="24"/>
          <w:szCs w:val="24"/>
        </w:rPr>
        <w:t xml:space="preserve">The geographical spread of wind energy development across District in the context of the LCAs is illustrated in Map 5.  The majority of wind farms are located in the northern portion of the Fermanagh and Omagh area with only 4 wind farms located within the identified vulnerable LCAs Lough </w:t>
      </w:r>
      <w:proofErr w:type="spellStart"/>
      <w:r w:rsidR="007C0E46">
        <w:rPr>
          <w:rFonts w:ascii="Arial" w:hAnsi="Arial" w:cs="Arial"/>
          <w:color w:val="000000" w:themeColor="text1"/>
          <w:sz w:val="24"/>
          <w:szCs w:val="24"/>
        </w:rPr>
        <w:t>Navar</w:t>
      </w:r>
      <w:proofErr w:type="spellEnd"/>
      <w:r w:rsidR="00511E9E">
        <w:rPr>
          <w:rFonts w:ascii="Arial" w:hAnsi="Arial" w:cs="Arial"/>
          <w:color w:val="000000" w:themeColor="text1"/>
          <w:sz w:val="24"/>
          <w:szCs w:val="24"/>
        </w:rPr>
        <w:t xml:space="preserve"> (1)</w:t>
      </w:r>
      <w:r w:rsidR="007C0E46">
        <w:rPr>
          <w:rFonts w:ascii="Arial" w:hAnsi="Arial" w:cs="Arial"/>
          <w:color w:val="000000" w:themeColor="text1"/>
          <w:sz w:val="24"/>
          <w:szCs w:val="24"/>
        </w:rPr>
        <w:t xml:space="preserve"> and </w:t>
      </w:r>
      <w:proofErr w:type="spellStart"/>
      <w:r w:rsidR="007C0E46">
        <w:rPr>
          <w:rFonts w:ascii="Arial" w:hAnsi="Arial" w:cs="Arial"/>
          <w:color w:val="000000" w:themeColor="text1"/>
          <w:sz w:val="24"/>
          <w:szCs w:val="24"/>
        </w:rPr>
        <w:t>Ballintempo</w:t>
      </w:r>
      <w:proofErr w:type="spellEnd"/>
      <w:r w:rsidR="007C0E46">
        <w:rPr>
          <w:rFonts w:ascii="Arial" w:hAnsi="Arial" w:cs="Arial"/>
          <w:color w:val="000000" w:themeColor="text1"/>
          <w:sz w:val="24"/>
          <w:szCs w:val="24"/>
        </w:rPr>
        <w:t xml:space="preserve"> Uplands</w:t>
      </w:r>
      <w:r w:rsidR="00511E9E">
        <w:rPr>
          <w:rFonts w:ascii="Arial" w:hAnsi="Arial" w:cs="Arial"/>
          <w:color w:val="000000" w:themeColor="text1"/>
          <w:sz w:val="24"/>
          <w:szCs w:val="24"/>
        </w:rPr>
        <w:t xml:space="preserve">, </w:t>
      </w:r>
      <w:proofErr w:type="spellStart"/>
      <w:r w:rsidR="007C0E46">
        <w:rPr>
          <w:rFonts w:ascii="Arial" w:hAnsi="Arial" w:cs="Arial"/>
          <w:color w:val="000000" w:themeColor="text1"/>
          <w:sz w:val="24"/>
          <w:szCs w:val="24"/>
        </w:rPr>
        <w:t>Knockmore</w:t>
      </w:r>
      <w:proofErr w:type="spellEnd"/>
      <w:r w:rsidR="007C0E46">
        <w:rPr>
          <w:rFonts w:ascii="Arial" w:hAnsi="Arial" w:cs="Arial"/>
          <w:color w:val="000000" w:themeColor="text1"/>
          <w:sz w:val="24"/>
          <w:szCs w:val="24"/>
        </w:rPr>
        <w:t xml:space="preserve"> </w:t>
      </w:r>
      <w:proofErr w:type="spellStart"/>
      <w:r w:rsidR="007C0E46">
        <w:rPr>
          <w:rFonts w:ascii="Arial" w:hAnsi="Arial" w:cs="Arial"/>
          <w:color w:val="000000" w:themeColor="text1"/>
          <w:sz w:val="24"/>
          <w:szCs w:val="24"/>
        </w:rPr>
        <w:t>Scarpland</w:t>
      </w:r>
      <w:proofErr w:type="spellEnd"/>
      <w:r w:rsidR="00511E9E">
        <w:rPr>
          <w:rFonts w:ascii="Arial" w:hAnsi="Arial" w:cs="Arial"/>
          <w:color w:val="000000" w:themeColor="text1"/>
          <w:sz w:val="24"/>
          <w:szCs w:val="24"/>
        </w:rPr>
        <w:t xml:space="preserve"> (2)</w:t>
      </w:r>
      <w:r w:rsidR="007C0E46">
        <w:rPr>
          <w:rFonts w:ascii="Arial" w:hAnsi="Arial" w:cs="Arial"/>
          <w:color w:val="000000" w:themeColor="text1"/>
          <w:sz w:val="24"/>
          <w:szCs w:val="24"/>
        </w:rPr>
        <w:t xml:space="preserve"> </w:t>
      </w:r>
      <w:r w:rsidR="00511E9E">
        <w:rPr>
          <w:rFonts w:ascii="Arial" w:hAnsi="Arial" w:cs="Arial"/>
          <w:color w:val="000000" w:themeColor="text1"/>
          <w:sz w:val="24"/>
          <w:szCs w:val="24"/>
        </w:rPr>
        <w:t>and in</w:t>
      </w:r>
      <w:r w:rsidR="007C0E46">
        <w:rPr>
          <w:rFonts w:ascii="Arial" w:hAnsi="Arial" w:cs="Arial"/>
          <w:color w:val="000000" w:themeColor="text1"/>
          <w:sz w:val="24"/>
          <w:szCs w:val="24"/>
        </w:rPr>
        <w:t xml:space="preserve"> Bessy Bell and Gortin LCA</w:t>
      </w:r>
      <w:r w:rsidR="00511E9E">
        <w:rPr>
          <w:rFonts w:ascii="Arial" w:hAnsi="Arial" w:cs="Arial"/>
          <w:color w:val="000000" w:themeColor="text1"/>
          <w:sz w:val="24"/>
          <w:szCs w:val="24"/>
        </w:rPr>
        <w:t xml:space="preserve"> (1</w:t>
      </w:r>
      <w:r w:rsidR="007C0E46">
        <w:rPr>
          <w:rFonts w:ascii="Arial" w:hAnsi="Arial" w:cs="Arial"/>
          <w:color w:val="000000" w:themeColor="text1"/>
          <w:sz w:val="24"/>
          <w:szCs w:val="24"/>
        </w:rPr>
        <w:t>)</w:t>
      </w:r>
      <w:r w:rsidR="00511E9E">
        <w:rPr>
          <w:rFonts w:ascii="Arial" w:hAnsi="Arial" w:cs="Arial"/>
          <w:color w:val="000000" w:themeColor="text1"/>
          <w:sz w:val="24"/>
          <w:szCs w:val="24"/>
        </w:rPr>
        <w:t>.</w:t>
      </w:r>
    </w:p>
    <w:p w:rsidR="00993455" w:rsidRDefault="00993455" w:rsidP="00384661">
      <w:pPr>
        <w:pStyle w:val="ListParagraph"/>
        <w:rPr>
          <w:rFonts w:ascii="Arial" w:hAnsi="Arial" w:cs="Arial"/>
          <w:color w:val="000000" w:themeColor="text1"/>
          <w:sz w:val="24"/>
          <w:szCs w:val="24"/>
        </w:rPr>
      </w:pPr>
    </w:p>
    <w:p w:rsidR="00370E74" w:rsidRDefault="000A1194" w:rsidP="00384661">
      <w:pPr>
        <w:pStyle w:val="EndnoteText"/>
        <w:autoSpaceDE w:val="0"/>
        <w:autoSpaceDN w:val="0"/>
        <w:adjustRightInd w:val="0"/>
        <w:ind w:left="709" w:hanging="709"/>
        <w:rPr>
          <w:rFonts w:ascii="Arial" w:hAnsi="Arial" w:cs="Arial"/>
          <w:color w:val="000000" w:themeColor="text1"/>
          <w:sz w:val="24"/>
          <w:szCs w:val="24"/>
        </w:rPr>
      </w:pPr>
      <w:r>
        <w:rPr>
          <w:rFonts w:ascii="Arial" w:hAnsi="Arial" w:cs="Arial"/>
          <w:color w:val="000000" w:themeColor="text1"/>
          <w:sz w:val="24"/>
          <w:szCs w:val="24"/>
        </w:rPr>
        <w:t>6.13</w:t>
      </w:r>
      <w:r w:rsidR="00CD4266">
        <w:rPr>
          <w:rFonts w:ascii="Arial" w:hAnsi="Arial" w:cs="Arial"/>
          <w:color w:val="000000" w:themeColor="text1"/>
          <w:sz w:val="24"/>
          <w:szCs w:val="24"/>
        </w:rPr>
        <w:tab/>
      </w:r>
      <w:r w:rsidR="00993455">
        <w:rPr>
          <w:rFonts w:ascii="Arial" w:hAnsi="Arial" w:cs="Arial"/>
          <w:color w:val="000000" w:themeColor="text1"/>
          <w:sz w:val="24"/>
          <w:szCs w:val="24"/>
        </w:rPr>
        <w:t>The LCAs identified as having a medium or lower sensitivity to change</w:t>
      </w:r>
      <w:r w:rsidR="00370E74">
        <w:rPr>
          <w:rFonts w:ascii="Arial" w:hAnsi="Arial" w:cs="Arial"/>
          <w:color w:val="000000" w:themeColor="text1"/>
          <w:sz w:val="24"/>
          <w:szCs w:val="24"/>
        </w:rPr>
        <w:t xml:space="preserve"> experiencing most pressure from wind farm development are Lough Braden, </w:t>
      </w:r>
      <w:proofErr w:type="spellStart"/>
      <w:r w:rsidR="00370E74">
        <w:rPr>
          <w:rFonts w:ascii="Arial" w:hAnsi="Arial" w:cs="Arial"/>
          <w:color w:val="000000" w:themeColor="text1"/>
          <w:sz w:val="24"/>
          <w:szCs w:val="24"/>
        </w:rPr>
        <w:t>Beaghmore</w:t>
      </w:r>
      <w:proofErr w:type="spellEnd"/>
      <w:r w:rsidR="00370E74">
        <w:rPr>
          <w:rFonts w:ascii="Arial" w:hAnsi="Arial" w:cs="Arial"/>
          <w:color w:val="000000" w:themeColor="text1"/>
          <w:sz w:val="24"/>
          <w:szCs w:val="24"/>
        </w:rPr>
        <w:t xml:space="preserve"> </w:t>
      </w:r>
      <w:proofErr w:type="spellStart"/>
      <w:r w:rsidR="00370E74">
        <w:rPr>
          <w:rFonts w:ascii="Arial" w:hAnsi="Arial" w:cs="Arial"/>
          <w:color w:val="000000" w:themeColor="text1"/>
          <w:sz w:val="24"/>
          <w:szCs w:val="24"/>
        </w:rPr>
        <w:t>Moores</w:t>
      </w:r>
      <w:proofErr w:type="spellEnd"/>
      <w:r w:rsidR="00370E74">
        <w:rPr>
          <w:rFonts w:ascii="Arial" w:hAnsi="Arial" w:cs="Arial"/>
          <w:color w:val="000000" w:themeColor="text1"/>
          <w:sz w:val="24"/>
          <w:szCs w:val="24"/>
        </w:rPr>
        <w:t xml:space="preserve"> and Marsh, </w:t>
      </w:r>
      <w:proofErr w:type="spellStart"/>
      <w:r w:rsidR="00370E74">
        <w:rPr>
          <w:rFonts w:ascii="Arial" w:hAnsi="Arial" w:cs="Arial"/>
          <w:color w:val="000000" w:themeColor="text1"/>
          <w:sz w:val="24"/>
          <w:szCs w:val="24"/>
        </w:rPr>
        <w:t>Carrickmore</w:t>
      </w:r>
      <w:proofErr w:type="spellEnd"/>
      <w:r w:rsidR="00370E74">
        <w:rPr>
          <w:rFonts w:ascii="Arial" w:hAnsi="Arial" w:cs="Arial"/>
          <w:color w:val="000000" w:themeColor="text1"/>
          <w:sz w:val="24"/>
          <w:szCs w:val="24"/>
        </w:rPr>
        <w:t xml:space="preserve"> Hills, </w:t>
      </w:r>
      <w:proofErr w:type="spellStart"/>
      <w:r w:rsidR="00370E74">
        <w:rPr>
          <w:rFonts w:ascii="Arial" w:hAnsi="Arial" w:cs="Arial"/>
          <w:color w:val="000000" w:themeColor="text1"/>
          <w:sz w:val="24"/>
          <w:szCs w:val="24"/>
        </w:rPr>
        <w:t>Slievemore</w:t>
      </w:r>
      <w:proofErr w:type="spellEnd"/>
      <w:r w:rsidR="00370E74">
        <w:rPr>
          <w:rFonts w:ascii="Arial" w:hAnsi="Arial" w:cs="Arial"/>
          <w:color w:val="000000" w:themeColor="text1"/>
          <w:sz w:val="24"/>
          <w:szCs w:val="24"/>
        </w:rPr>
        <w:t xml:space="preserve"> and </w:t>
      </w:r>
      <w:proofErr w:type="spellStart"/>
      <w:r w:rsidR="00370E74">
        <w:rPr>
          <w:rFonts w:ascii="Arial" w:hAnsi="Arial" w:cs="Arial"/>
          <w:color w:val="000000" w:themeColor="text1"/>
          <w:sz w:val="24"/>
          <w:szCs w:val="24"/>
        </w:rPr>
        <w:t>Brougher</w:t>
      </w:r>
      <w:proofErr w:type="spellEnd"/>
      <w:r w:rsidR="00370E74">
        <w:rPr>
          <w:rFonts w:ascii="Arial" w:hAnsi="Arial" w:cs="Arial"/>
          <w:color w:val="000000" w:themeColor="text1"/>
          <w:sz w:val="24"/>
          <w:szCs w:val="24"/>
        </w:rPr>
        <w:t xml:space="preserve"> Mountain.</w:t>
      </w:r>
    </w:p>
    <w:p w:rsidR="00370E74" w:rsidRDefault="00370E74" w:rsidP="00384661">
      <w:pPr>
        <w:pStyle w:val="ListParagraph"/>
        <w:rPr>
          <w:rFonts w:ascii="Arial" w:hAnsi="Arial" w:cs="Arial"/>
          <w:color w:val="000000" w:themeColor="text1"/>
          <w:sz w:val="24"/>
          <w:szCs w:val="24"/>
        </w:rPr>
      </w:pPr>
    </w:p>
    <w:p w:rsidR="007C0E46" w:rsidRPr="002F7E68" w:rsidRDefault="000A1194" w:rsidP="00384661">
      <w:pPr>
        <w:pStyle w:val="EndnoteText"/>
        <w:autoSpaceDE w:val="0"/>
        <w:autoSpaceDN w:val="0"/>
        <w:adjustRightInd w:val="0"/>
        <w:ind w:left="709" w:hanging="709"/>
        <w:rPr>
          <w:rFonts w:ascii="Arial" w:hAnsi="Arial" w:cs="Arial"/>
          <w:color w:val="000000" w:themeColor="text1"/>
          <w:sz w:val="24"/>
          <w:szCs w:val="24"/>
        </w:rPr>
      </w:pPr>
      <w:r>
        <w:rPr>
          <w:rFonts w:ascii="Arial" w:hAnsi="Arial" w:cs="Arial"/>
          <w:color w:val="000000" w:themeColor="text1"/>
          <w:sz w:val="24"/>
          <w:szCs w:val="24"/>
        </w:rPr>
        <w:t>6.14</w:t>
      </w:r>
      <w:r w:rsidR="00CD4266">
        <w:rPr>
          <w:rFonts w:ascii="Arial" w:hAnsi="Arial" w:cs="Arial"/>
          <w:color w:val="000000" w:themeColor="text1"/>
          <w:sz w:val="24"/>
          <w:szCs w:val="24"/>
        </w:rPr>
        <w:tab/>
      </w:r>
      <w:r w:rsidR="00370E74">
        <w:rPr>
          <w:rFonts w:ascii="Arial" w:hAnsi="Arial" w:cs="Arial"/>
          <w:color w:val="000000" w:themeColor="text1"/>
          <w:sz w:val="24"/>
          <w:szCs w:val="24"/>
        </w:rPr>
        <w:t xml:space="preserve">Overall those landscapes which have been identified as being vulnerable have not experienced a significant amount of development pressure from wind energy development.  Both wind farms and single wind turbines have the potential to individually, as well as cumulatively, </w:t>
      </w:r>
      <w:r w:rsidR="000C0F2F">
        <w:rPr>
          <w:rFonts w:ascii="Arial" w:hAnsi="Arial" w:cs="Arial"/>
          <w:color w:val="000000" w:themeColor="text1"/>
          <w:sz w:val="24"/>
          <w:szCs w:val="24"/>
        </w:rPr>
        <w:t>significant</w:t>
      </w:r>
      <w:r w:rsidR="00E063F5">
        <w:rPr>
          <w:rFonts w:ascii="Arial" w:hAnsi="Arial" w:cs="Arial"/>
          <w:color w:val="000000" w:themeColor="text1"/>
          <w:sz w:val="24"/>
          <w:szCs w:val="24"/>
        </w:rPr>
        <w:t>ly</w:t>
      </w:r>
      <w:r w:rsidR="000C0F2F">
        <w:rPr>
          <w:rFonts w:ascii="Arial" w:hAnsi="Arial" w:cs="Arial"/>
          <w:color w:val="000000" w:themeColor="text1"/>
          <w:sz w:val="24"/>
          <w:szCs w:val="24"/>
        </w:rPr>
        <w:t xml:space="preserve"> impact on the character of all landscapes, particularly those deemed to be vulnerable to change.  </w:t>
      </w:r>
    </w:p>
    <w:p w:rsidR="002122CA" w:rsidRDefault="002122CA" w:rsidP="00384661">
      <w:pPr>
        <w:pStyle w:val="EndnoteText"/>
        <w:autoSpaceDE w:val="0"/>
        <w:autoSpaceDN w:val="0"/>
        <w:adjustRightInd w:val="0"/>
        <w:rPr>
          <w:rFonts w:ascii="Arial" w:hAnsi="Arial" w:cs="Arial"/>
          <w:color w:val="000000" w:themeColor="text1"/>
          <w:sz w:val="24"/>
          <w:szCs w:val="24"/>
        </w:rPr>
      </w:pPr>
    </w:p>
    <w:p w:rsidR="00977540" w:rsidRDefault="000A1194" w:rsidP="00A8027D">
      <w:pPr>
        <w:pStyle w:val="EndnoteText"/>
        <w:autoSpaceDE w:val="0"/>
        <w:autoSpaceDN w:val="0"/>
        <w:adjustRightInd w:val="0"/>
        <w:ind w:left="709" w:hanging="709"/>
        <w:rPr>
          <w:rFonts w:ascii="Arial" w:hAnsi="Arial" w:cs="Arial"/>
          <w:color w:val="000000" w:themeColor="text1"/>
          <w:sz w:val="24"/>
          <w:szCs w:val="24"/>
        </w:rPr>
      </w:pPr>
      <w:r>
        <w:rPr>
          <w:rFonts w:ascii="Arial" w:hAnsi="Arial" w:cs="Arial"/>
          <w:color w:val="000000" w:themeColor="text1"/>
          <w:sz w:val="24"/>
          <w:szCs w:val="24"/>
        </w:rPr>
        <w:t>6.15</w:t>
      </w:r>
      <w:r w:rsidR="00CD4266">
        <w:rPr>
          <w:rFonts w:ascii="Arial" w:hAnsi="Arial" w:cs="Arial"/>
          <w:color w:val="000000" w:themeColor="text1"/>
          <w:sz w:val="24"/>
          <w:szCs w:val="24"/>
        </w:rPr>
        <w:tab/>
      </w:r>
      <w:r w:rsidR="00977540" w:rsidRPr="000D0EED">
        <w:rPr>
          <w:rFonts w:ascii="Arial" w:hAnsi="Arial" w:cs="Arial"/>
          <w:color w:val="000000" w:themeColor="text1"/>
          <w:sz w:val="24"/>
          <w:szCs w:val="24"/>
        </w:rPr>
        <w:t>Given the increasing prevalence of wind energy development, in particular wind farms, and increasing concerns regarding impacts on more sensitive areas, consideration should be given as to whether the</w:t>
      </w:r>
      <w:r w:rsidR="00823E91">
        <w:rPr>
          <w:rFonts w:ascii="Arial" w:hAnsi="Arial" w:cs="Arial"/>
          <w:color w:val="000000" w:themeColor="text1"/>
          <w:sz w:val="24"/>
          <w:szCs w:val="24"/>
        </w:rPr>
        <w:t xml:space="preserve"> local</w:t>
      </w:r>
      <w:r w:rsidR="00977540" w:rsidRPr="000D0EED">
        <w:rPr>
          <w:rFonts w:ascii="Arial" w:hAnsi="Arial" w:cs="Arial"/>
          <w:color w:val="000000" w:themeColor="text1"/>
          <w:sz w:val="24"/>
          <w:szCs w:val="24"/>
        </w:rPr>
        <w:t xml:space="preserve"> development plan should bring forward a policy on how proposals </w:t>
      </w:r>
      <w:r w:rsidR="00A0707A">
        <w:rPr>
          <w:rFonts w:ascii="Arial" w:hAnsi="Arial" w:cs="Arial"/>
          <w:color w:val="000000" w:themeColor="text1"/>
          <w:sz w:val="24"/>
          <w:szCs w:val="24"/>
        </w:rPr>
        <w:t>of this nature, size and scale should be addressed.</w:t>
      </w:r>
      <w:r w:rsidR="00A677D3">
        <w:rPr>
          <w:rFonts w:ascii="Arial" w:hAnsi="Arial" w:cs="Arial"/>
          <w:color w:val="000000" w:themeColor="text1"/>
          <w:sz w:val="24"/>
          <w:szCs w:val="24"/>
        </w:rPr>
        <w:t xml:space="preserve"> </w:t>
      </w:r>
    </w:p>
    <w:p w:rsidR="00A8027D" w:rsidRPr="009564E7" w:rsidRDefault="00A8027D" w:rsidP="00A8027D">
      <w:pPr>
        <w:pStyle w:val="EndnoteText"/>
        <w:autoSpaceDE w:val="0"/>
        <w:autoSpaceDN w:val="0"/>
        <w:adjustRightInd w:val="0"/>
        <w:ind w:left="709" w:hanging="709"/>
        <w:rPr>
          <w:rFonts w:ascii="Arial" w:hAnsi="Arial" w:cs="Arial"/>
          <w:color w:val="000000" w:themeColor="text1"/>
          <w:sz w:val="24"/>
          <w:szCs w:val="24"/>
        </w:rPr>
      </w:pPr>
    </w:p>
    <w:p w:rsidR="00A8027D" w:rsidRDefault="000A1194" w:rsidP="00A8027D">
      <w:pPr>
        <w:pStyle w:val="EndnoteText"/>
        <w:autoSpaceDE w:val="0"/>
        <w:autoSpaceDN w:val="0"/>
        <w:adjustRightInd w:val="0"/>
        <w:ind w:left="709" w:hanging="709"/>
        <w:rPr>
          <w:rFonts w:ascii="Arial" w:hAnsi="Arial" w:cs="Arial"/>
          <w:color w:val="000000" w:themeColor="text1"/>
          <w:sz w:val="24"/>
          <w:szCs w:val="24"/>
        </w:rPr>
      </w:pPr>
      <w:r>
        <w:rPr>
          <w:rFonts w:ascii="Arial" w:hAnsi="Arial" w:cs="Arial"/>
          <w:color w:val="000000" w:themeColor="text1"/>
          <w:sz w:val="24"/>
          <w:szCs w:val="24"/>
        </w:rPr>
        <w:t>6.16</w:t>
      </w:r>
      <w:r w:rsidR="00A8027D">
        <w:rPr>
          <w:rFonts w:ascii="Arial" w:hAnsi="Arial" w:cs="Arial"/>
          <w:color w:val="000000" w:themeColor="text1"/>
          <w:sz w:val="24"/>
          <w:szCs w:val="24"/>
        </w:rPr>
        <w:tab/>
      </w:r>
      <w:r w:rsidR="00A8027D" w:rsidRPr="002F7E68">
        <w:rPr>
          <w:rFonts w:ascii="Arial" w:hAnsi="Arial" w:cs="Arial"/>
          <w:color w:val="000000" w:themeColor="text1"/>
          <w:sz w:val="24"/>
          <w:szCs w:val="24"/>
        </w:rPr>
        <w:t xml:space="preserve">In addition, all </w:t>
      </w:r>
      <w:proofErr w:type="spellStart"/>
      <w:r w:rsidR="00A8027D" w:rsidRPr="002F7E68">
        <w:rPr>
          <w:rFonts w:ascii="Arial" w:hAnsi="Arial" w:cs="Arial"/>
          <w:color w:val="000000" w:themeColor="text1"/>
          <w:sz w:val="24"/>
          <w:szCs w:val="24"/>
        </w:rPr>
        <w:t>Ramsar</w:t>
      </w:r>
      <w:proofErr w:type="spellEnd"/>
      <w:r w:rsidR="00A8027D" w:rsidRPr="002F7E68">
        <w:rPr>
          <w:rFonts w:ascii="Arial" w:hAnsi="Arial" w:cs="Arial"/>
          <w:color w:val="000000" w:themeColor="text1"/>
          <w:sz w:val="24"/>
          <w:szCs w:val="24"/>
        </w:rPr>
        <w:t xml:space="preserve"> sites and European designated sites (Special Protection Areas (SPAs) and Special Areas of Conservation (SACs)) are considered in Paper 14 as being vulnerable to change (Map 3). </w:t>
      </w:r>
    </w:p>
    <w:p w:rsidR="00B20F58" w:rsidRPr="00A8027D" w:rsidRDefault="00B20F58" w:rsidP="00384661">
      <w:pPr>
        <w:pStyle w:val="EndnoteText"/>
        <w:autoSpaceDE w:val="0"/>
        <w:autoSpaceDN w:val="0"/>
        <w:adjustRightInd w:val="0"/>
        <w:rPr>
          <w:rFonts w:ascii="Arial" w:hAnsi="Arial" w:cs="Arial"/>
          <w:color w:val="000000" w:themeColor="text1"/>
          <w:sz w:val="24"/>
          <w:szCs w:val="24"/>
        </w:rPr>
      </w:pPr>
    </w:p>
    <w:p w:rsidR="00A8027D" w:rsidRDefault="00A8027D" w:rsidP="00384661">
      <w:pPr>
        <w:pStyle w:val="EndnoteText"/>
        <w:autoSpaceDE w:val="0"/>
        <w:autoSpaceDN w:val="0"/>
        <w:adjustRightInd w:val="0"/>
        <w:rPr>
          <w:rFonts w:ascii="Arial" w:hAnsi="Arial" w:cs="Arial"/>
          <w:b/>
          <w:color w:val="000000" w:themeColor="text1"/>
          <w:sz w:val="24"/>
          <w:szCs w:val="24"/>
        </w:rPr>
      </w:pPr>
    </w:p>
    <w:p w:rsidR="00385F16" w:rsidRPr="000A1194" w:rsidRDefault="000A1194" w:rsidP="00384661">
      <w:pPr>
        <w:pStyle w:val="EndnoteText"/>
        <w:autoSpaceDE w:val="0"/>
        <w:autoSpaceDN w:val="0"/>
        <w:adjustRightInd w:val="0"/>
        <w:rPr>
          <w:rFonts w:ascii="Arial" w:hAnsi="Arial" w:cs="Arial"/>
          <w:b/>
          <w:color w:val="000000" w:themeColor="text1"/>
          <w:sz w:val="28"/>
          <w:szCs w:val="28"/>
        </w:rPr>
      </w:pPr>
      <w:r w:rsidRPr="000A1194">
        <w:rPr>
          <w:rFonts w:ascii="Arial" w:hAnsi="Arial" w:cs="Arial"/>
          <w:b/>
          <w:color w:val="000000" w:themeColor="text1"/>
          <w:sz w:val="28"/>
          <w:szCs w:val="28"/>
        </w:rPr>
        <w:t>7</w:t>
      </w:r>
      <w:r w:rsidR="00B20F58" w:rsidRPr="000A1194">
        <w:rPr>
          <w:rFonts w:ascii="Arial" w:hAnsi="Arial" w:cs="Arial"/>
          <w:b/>
          <w:color w:val="000000" w:themeColor="text1"/>
          <w:sz w:val="28"/>
          <w:szCs w:val="28"/>
        </w:rPr>
        <w:t>.0</w:t>
      </w:r>
      <w:r w:rsidR="00B20F58" w:rsidRPr="000A1194">
        <w:rPr>
          <w:rFonts w:ascii="Arial" w:hAnsi="Arial" w:cs="Arial"/>
          <w:b/>
          <w:color w:val="000000" w:themeColor="text1"/>
          <w:sz w:val="28"/>
          <w:szCs w:val="28"/>
        </w:rPr>
        <w:tab/>
      </w:r>
      <w:r w:rsidR="00A0707A" w:rsidRPr="000A1194">
        <w:rPr>
          <w:rFonts w:ascii="Arial" w:hAnsi="Arial" w:cs="Arial"/>
          <w:b/>
          <w:color w:val="000000" w:themeColor="text1"/>
          <w:sz w:val="28"/>
          <w:szCs w:val="28"/>
        </w:rPr>
        <w:t>Conclusion</w:t>
      </w:r>
      <w:r w:rsidR="00FD7105">
        <w:rPr>
          <w:rFonts w:ascii="Arial" w:hAnsi="Arial" w:cs="Arial"/>
          <w:b/>
          <w:color w:val="000000" w:themeColor="text1"/>
          <w:sz w:val="28"/>
          <w:szCs w:val="28"/>
        </w:rPr>
        <w:t xml:space="preserve"> and Recommendation</w:t>
      </w:r>
    </w:p>
    <w:p w:rsidR="00A0707A" w:rsidRDefault="00A0707A" w:rsidP="00384661">
      <w:pPr>
        <w:pStyle w:val="EndnoteText"/>
        <w:autoSpaceDE w:val="0"/>
        <w:autoSpaceDN w:val="0"/>
        <w:adjustRightInd w:val="0"/>
        <w:ind w:firstLine="720"/>
        <w:rPr>
          <w:rFonts w:ascii="Arial" w:hAnsi="Arial" w:cs="Arial"/>
          <w:b/>
          <w:color w:val="000000" w:themeColor="text1"/>
          <w:sz w:val="24"/>
          <w:szCs w:val="24"/>
        </w:rPr>
      </w:pPr>
    </w:p>
    <w:p w:rsidR="00A0707A" w:rsidRDefault="000A1194" w:rsidP="00384661">
      <w:pPr>
        <w:pStyle w:val="EndnoteText"/>
        <w:autoSpaceDE w:val="0"/>
        <w:autoSpaceDN w:val="0"/>
        <w:adjustRightInd w:val="0"/>
        <w:ind w:left="720" w:hanging="720"/>
        <w:rPr>
          <w:rFonts w:ascii="Arial" w:hAnsi="Arial" w:cs="Arial"/>
          <w:color w:val="000000" w:themeColor="text1"/>
          <w:sz w:val="24"/>
          <w:szCs w:val="24"/>
        </w:rPr>
      </w:pPr>
      <w:r>
        <w:rPr>
          <w:rFonts w:ascii="Arial" w:hAnsi="Arial" w:cs="Arial"/>
          <w:color w:val="000000" w:themeColor="text1"/>
          <w:sz w:val="24"/>
          <w:szCs w:val="24"/>
        </w:rPr>
        <w:t>7.</w:t>
      </w:r>
      <w:r w:rsidR="00B20F58" w:rsidRPr="00AA7DCA">
        <w:rPr>
          <w:rFonts w:ascii="Arial" w:hAnsi="Arial" w:cs="Arial"/>
          <w:color w:val="000000" w:themeColor="text1"/>
          <w:sz w:val="24"/>
          <w:szCs w:val="24"/>
        </w:rPr>
        <w:t>1</w:t>
      </w:r>
      <w:r w:rsidR="005D5506">
        <w:rPr>
          <w:rFonts w:ascii="Arial" w:hAnsi="Arial" w:cs="Arial"/>
          <w:b/>
          <w:color w:val="000000" w:themeColor="text1"/>
          <w:sz w:val="24"/>
          <w:szCs w:val="24"/>
        </w:rPr>
        <w:tab/>
      </w:r>
      <w:r w:rsidR="005D5506">
        <w:rPr>
          <w:rFonts w:ascii="Arial" w:hAnsi="Arial" w:cs="Arial"/>
          <w:color w:val="000000" w:themeColor="text1"/>
          <w:sz w:val="24"/>
          <w:szCs w:val="24"/>
        </w:rPr>
        <w:t>It is evident from the available statistics that the rate of rural housing approvals under PPS</w:t>
      </w:r>
      <w:r w:rsidR="00324DF9">
        <w:rPr>
          <w:rFonts w:ascii="Arial" w:hAnsi="Arial" w:cs="Arial"/>
          <w:color w:val="000000" w:themeColor="text1"/>
          <w:sz w:val="24"/>
          <w:szCs w:val="24"/>
        </w:rPr>
        <w:t xml:space="preserve"> </w:t>
      </w:r>
      <w:r w:rsidR="005D5506">
        <w:rPr>
          <w:rFonts w:ascii="Arial" w:hAnsi="Arial" w:cs="Arial"/>
          <w:color w:val="000000" w:themeColor="text1"/>
          <w:sz w:val="24"/>
          <w:szCs w:val="24"/>
        </w:rPr>
        <w:t>21 is notably reduced when compared to approvals under historical rural planning policies</w:t>
      </w:r>
      <w:r w:rsidR="00A0707A">
        <w:rPr>
          <w:rFonts w:ascii="Arial" w:hAnsi="Arial" w:cs="Arial"/>
          <w:color w:val="000000" w:themeColor="text1"/>
          <w:sz w:val="24"/>
          <w:szCs w:val="24"/>
        </w:rPr>
        <w:t xml:space="preserve">.  </w:t>
      </w:r>
      <w:r w:rsidR="005D5506">
        <w:rPr>
          <w:rFonts w:ascii="Arial" w:hAnsi="Arial" w:cs="Arial"/>
          <w:color w:val="000000" w:themeColor="text1"/>
          <w:sz w:val="24"/>
          <w:szCs w:val="24"/>
        </w:rPr>
        <w:t xml:space="preserve"> </w:t>
      </w:r>
      <w:r w:rsidR="00A0707A">
        <w:rPr>
          <w:rFonts w:ascii="Arial" w:hAnsi="Arial" w:cs="Arial"/>
          <w:color w:val="000000" w:themeColor="text1"/>
          <w:sz w:val="24"/>
          <w:szCs w:val="24"/>
        </w:rPr>
        <w:t xml:space="preserve">Furthermore, since its final adoption in June 2010, having had a chance to ‘bed in’, the rate of rural approvals has reduced by a third. </w:t>
      </w:r>
      <w:r w:rsidR="00324DF9">
        <w:rPr>
          <w:rFonts w:ascii="Arial" w:hAnsi="Arial" w:cs="Arial"/>
          <w:color w:val="000000" w:themeColor="text1"/>
          <w:sz w:val="24"/>
          <w:szCs w:val="24"/>
        </w:rPr>
        <w:t xml:space="preserve">Overall, the development pressure analysis shows little evidence of significant pressure across the district and </w:t>
      </w:r>
      <w:r w:rsidR="00FD7105">
        <w:rPr>
          <w:rFonts w:ascii="Arial" w:hAnsi="Arial" w:cs="Arial"/>
          <w:color w:val="000000" w:themeColor="text1"/>
          <w:sz w:val="24"/>
          <w:szCs w:val="24"/>
        </w:rPr>
        <w:t>that</w:t>
      </w:r>
      <w:r w:rsidR="00324DF9">
        <w:rPr>
          <w:rFonts w:ascii="Arial" w:hAnsi="Arial" w:cs="Arial"/>
          <w:color w:val="000000" w:themeColor="text1"/>
          <w:sz w:val="24"/>
          <w:szCs w:val="24"/>
        </w:rPr>
        <w:t xml:space="preserve"> apart from some exceptions, rural character has been maintained.</w:t>
      </w:r>
    </w:p>
    <w:p w:rsidR="005D5506" w:rsidRDefault="00A0707A" w:rsidP="00384661">
      <w:pPr>
        <w:pStyle w:val="EndnoteText"/>
        <w:autoSpaceDE w:val="0"/>
        <w:autoSpaceDN w:val="0"/>
        <w:adjustRightInd w:val="0"/>
        <w:ind w:left="720" w:hanging="720"/>
        <w:rPr>
          <w:rFonts w:ascii="Arial" w:hAnsi="Arial" w:cs="Arial"/>
          <w:color w:val="000000" w:themeColor="text1"/>
          <w:sz w:val="24"/>
          <w:szCs w:val="24"/>
        </w:rPr>
      </w:pPr>
      <w:r>
        <w:rPr>
          <w:rFonts w:ascii="Arial" w:hAnsi="Arial" w:cs="Arial"/>
          <w:color w:val="000000" w:themeColor="text1"/>
          <w:sz w:val="24"/>
          <w:szCs w:val="24"/>
        </w:rPr>
        <w:t xml:space="preserve"> </w:t>
      </w:r>
    </w:p>
    <w:p w:rsidR="00A0707A" w:rsidRDefault="000A1194" w:rsidP="00384661">
      <w:pPr>
        <w:pStyle w:val="EndnoteText"/>
        <w:autoSpaceDE w:val="0"/>
        <w:autoSpaceDN w:val="0"/>
        <w:adjustRightInd w:val="0"/>
        <w:ind w:left="720" w:hanging="720"/>
        <w:rPr>
          <w:rFonts w:ascii="Arial" w:hAnsi="Arial" w:cs="Arial"/>
          <w:color w:val="000000" w:themeColor="text1"/>
          <w:sz w:val="24"/>
          <w:szCs w:val="24"/>
        </w:rPr>
      </w:pPr>
      <w:r>
        <w:rPr>
          <w:rFonts w:ascii="Arial" w:hAnsi="Arial" w:cs="Arial"/>
          <w:color w:val="000000" w:themeColor="text1"/>
          <w:sz w:val="24"/>
          <w:szCs w:val="24"/>
        </w:rPr>
        <w:t>7</w:t>
      </w:r>
      <w:r w:rsidR="00B20F58">
        <w:rPr>
          <w:rFonts w:ascii="Arial" w:hAnsi="Arial" w:cs="Arial"/>
          <w:color w:val="000000" w:themeColor="text1"/>
          <w:sz w:val="24"/>
          <w:szCs w:val="24"/>
        </w:rPr>
        <w:t>.2</w:t>
      </w:r>
      <w:r w:rsidR="00A0707A">
        <w:rPr>
          <w:rFonts w:ascii="Arial" w:hAnsi="Arial" w:cs="Arial"/>
          <w:color w:val="000000" w:themeColor="text1"/>
          <w:sz w:val="24"/>
          <w:szCs w:val="24"/>
        </w:rPr>
        <w:tab/>
        <w:t xml:space="preserve">Whilst the number of decisions in relation to wind energy development have increased over recent years there has been a general downward trend in the number of wind energy applications being received.  This downward trend </w:t>
      </w:r>
      <w:r w:rsidR="00A0707A">
        <w:rPr>
          <w:rFonts w:ascii="Arial" w:hAnsi="Arial" w:cs="Arial"/>
          <w:color w:val="000000" w:themeColor="text1"/>
          <w:sz w:val="24"/>
          <w:szCs w:val="24"/>
        </w:rPr>
        <w:lastRenderedPageBreak/>
        <w:t>may be</w:t>
      </w:r>
      <w:r w:rsidR="009D3DA1">
        <w:rPr>
          <w:rFonts w:ascii="Arial" w:hAnsi="Arial" w:cs="Arial"/>
          <w:color w:val="000000" w:themeColor="text1"/>
          <w:sz w:val="24"/>
          <w:szCs w:val="24"/>
        </w:rPr>
        <w:t xml:space="preserve"> </w:t>
      </w:r>
      <w:r w:rsidR="00A0707A">
        <w:rPr>
          <w:rFonts w:ascii="Arial" w:hAnsi="Arial" w:cs="Arial"/>
          <w:color w:val="000000" w:themeColor="text1"/>
          <w:sz w:val="24"/>
          <w:szCs w:val="24"/>
        </w:rPr>
        <w:t>linked to u</w:t>
      </w:r>
      <w:r w:rsidR="00A0707A" w:rsidRPr="00D80D50">
        <w:rPr>
          <w:rFonts w:ascii="Arial" w:hAnsi="Arial" w:cs="Arial"/>
          <w:color w:val="000000" w:themeColor="text1"/>
          <w:sz w:val="24"/>
          <w:szCs w:val="24"/>
        </w:rPr>
        <w:t xml:space="preserve">ncertainties over network infrastructure, operating incentives and the costs of installing this technology </w:t>
      </w:r>
      <w:r w:rsidR="00A0707A">
        <w:rPr>
          <w:rFonts w:ascii="Arial" w:hAnsi="Arial" w:cs="Arial"/>
          <w:color w:val="000000" w:themeColor="text1"/>
          <w:sz w:val="24"/>
          <w:szCs w:val="24"/>
        </w:rPr>
        <w:t>all of which are beyond the control of planning policy.</w:t>
      </w:r>
      <w:r w:rsidR="00A0707A" w:rsidRPr="00D80D50">
        <w:rPr>
          <w:rFonts w:ascii="Arial" w:hAnsi="Arial" w:cs="Arial"/>
          <w:color w:val="000000" w:themeColor="text1"/>
          <w:sz w:val="24"/>
          <w:szCs w:val="24"/>
        </w:rPr>
        <w:t xml:space="preserve"> </w:t>
      </w:r>
    </w:p>
    <w:p w:rsidR="00A0707A" w:rsidRDefault="00A0707A" w:rsidP="00384661">
      <w:pPr>
        <w:pStyle w:val="EndnoteText"/>
        <w:autoSpaceDE w:val="0"/>
        <w:autoSpaceDN w:val="0"/>
        <w:adjustRightInd w:val="0"/>
        <w:ind w:left="720" w:hanging="720"/>
        <w:rPr>
          <w:rFonts w:ascii="Arial" w:hAnsi="Arial" w:cs="Arial"/>
          <w:color w:val="000000" w:themeColor="text1"/>
          <w:sz w:val="24"/>
          <w:szCs w:val="24"/>
        </w:rPr>
      </w:pPr>
    </w:p>
    <w:p w:rsidR="00B20F58" w:rsidRDefault="000A1194" w:rsidP="00384661">
      <w:pPr>
        <w:pStyle w:val="EndnoteText"/>
        <w:autoSpaceDE w:val="0"/>
        <w:autoSpaceDN w:val="0"/>
        <w:adjustRightInd w:val="0"/>
        <w:ind w:left="720" w:hanging="720"/>
        <w:rPr>
          <w:rFonts w:ascii="Arial" w:hAnsi="Arial" w:cs="Arial"/>
          <w:color w:val="000000" w:themeColor="text1"/>
          <w:sz w:val="24"/>
          <w:szCs w:val="24"/>
        </w:rPr>
      </w:pPr>
      <w:r>
        <w:rPr>
          <w:rFonts w:ascii="Arial" w:hAnsi="Arial" w:cs="Arial"/>
          <w:color w:val="000000" w:themeColor="text1"/>
          <w:sz w:val="24"/>
          <w:szCs w:val="24"/>
        </w:rPr>
        <w:t>7</w:t>
      </w:r>
      <w:r w:rsidR="00B20F58">
        <w:rPr>
          <w:rFonts w:ascii="Arial" w:hAnsi="Arial" w:cs="Arial"/>
          <w:color w:val="000000" w:themeColor="text1"/>
          <w:sz w:val="24"/>
          <w:szCs w:val="24"/>
        </w:rPr>
        <w:t>.3</w:t>
      </w:r>
      <w:r w:rsidR="00A0707A">
        <w:rPr>
          <w:rFonts w:ascii="Arial" w:hAnsi="Arial" w:cs="Arial"/>
          <w:color w:val="000000" w:themeColor="text1"/>
          <w:sz w:val="24"/>
          <w:szCs w:val="24"/>
        </w:rPr>
        <w:t xml:space="preserve"> </w:t>
      </w:r>
      <w:r w:rsidR="00A0707A">
        <w:rPr>
          <w:rFonts w:ascii="Arial" w:hAnsi="Arial" w:cs="Arial"/>
          <w:color w:val="000000" w:themeColor="text1"/>
          <w:sz w:val="24"/>
          <w:szCs w:val="24"/>
        </w:rPr>
        <w:tab/>
        <w:t xml:space="preserve">A broad overview of the development pressure from both single rural dwellings and </w:t>
      </w:r>
      <w:r w:rsidR="009D3DA1">
        <w:rPr>
          <w:rFonts w:ascii="Arial" w:hAnsi="Arial" w:cs="Arial"/>
          <w:color w:val="000000" w:themeColor="text1"/>
          <w:sz w:val="24"/>
          <w:szCs w:val="24"/>
        </w:rPr>
        <w:t xml:space="preserve">wind energy development indicates that in general the areas within the district that are valued for their high scenic value or natural heritage importance such as the Sperrin AONB have experienced less pressure for development.  </w:t>
      </w:r>
    </w:p>
    <w:p w:rsidR="00FB3EC7" w:rsidRDefault="00FB3EC7" w:rsidP="00384661">
      <w:pPr>
        <w:pStyle w:val="EndnoteText"/>
        <w:autoSpaceDE w:val="0"/>
        <w:autoSpaceDN w:val="0"/>
        <w:adjustRightInd w:val="0"/>
        <w:ind w:left="720" w:hanging="720"/>
        <w:rPr>
          <w:rFonts w:ascii="Arial" w:hAnsi="Arial" w:cs="Arial"/>
          <w:color w:val="000000" w:themeColor="text1"/>
          <w:sz w:val="24"/>
          <w:szCs w:val="24"/>
        </w:rPr>
      </w:pPr>
    </w:p>
    <w:p w:rsidR="00FB3EC7" w:rsidRDefault="000A1194" w:rsidP="00384661">
      <w:pPr>
        <w:pStyle w:val="EndnoteText"/>
        <w:autoSpaceDE w:val="0"/>
        <w:autoSpaceDN w:val="0"/>
        <w:adjustRightInd w:val="0"/>
        <w:ind w:left="720" w:hanging="720"/>
        <w:rPr>
          <w:rFonts w:ascii="Arial" w:hAnsi="Arial" w:cs="Arial"/>
          <w:color w:val="000000" w:themeColor="text1"/>
          <w:sz w:val="24"/>
          <w:szCs w:val="24"/>
        </w:rPr>
      </w:pPr>
      <w:r>
        <w:rPr>
          <w:rFonts w:ascii="Arial" w:hAnsi="Arial" w:cs="Arial"/>
          <w:color w:val="000000" w:themeColor="text1"/>
          <w:sz w:val="24"/>
          <w:szCs w:val="24"/>
        </w:rPr>
        <w:t>7</w:t>
      </w:r>
      <w:r w:rsidR="00FB3EC7">
        <w:rPr>
          <w:rFonts w:ascii="Arial" w:hAnsi="Arial" w:cs="Arial"/>
          <w:color w:val="000000" w:themeColor="text1"/>
          <w:sz w:val="24"/>
          <w:szCs w:val="24"/>
        </w:rPr>
        <w:t>.4</w:t>
      </w:r>
      <w:r w:rsidR="00FB3EC7">
        <w:rPr>
          <w:rFonts w:ascii="Arial" w:hAnsi="Arial" w:cs="Arial"/>
          <w:color w:val="000000" w:themeColor="text1"/>
          <w:sz w:val="24"/>
          <w:szCs w:val="24"/>
        </w:rPr>
        <w:tab/>
      </w:r>
      <w:r w:rsidR="001C7667">
        <w:rPr>
          <w:rFonts w:ascii="Arial" w:hAnsi="Arial" w:cs="Arial"/>
          <w:color w:val="000000" w:themeColor="text1"/>
          <w:sz w:val="24"/>
          <w:szCs w:val="24"/>
        </w:rPr>
        <w:t>Policy formulation should r</w:t>
      </w:r>
      <w:r w:rsidR="008B4ABE">
        <w:rPr>
          <w:rFonts w:ascii="Arial" w:hAnsi="Arial" w:cs="Arial"/>
          <w:color w:val="000000" w:themeColor="text1"/>
          <w:sz w:val="24"/>
          <w:szCs w:val="24"/>
        </w:rPr>
        <w:t>eflect differences in the area</w:t>
      </w:r>
      <w:r w:rsidR="001C7667">
        <w:rPr>
          <w:rFonts w:ascii="Arial" w:hAnsi="Arial" w:cs="Arial"/>
          <w:color w:val="000000" w:themeColor="text1"/>
          <w:sz w:val="24"/>
          <w:szCs w:val="24"/>
        </w:rPr>
        <w:t xml:space="preserve"> including the ability of landscapes to absorb development and striking a balance between protection of the environment from inappropriate development, while supporting and sustain</w:t>
      </w:r>
      <w:r w:rsidR="008B4ABE">
        <w:rPr>
          <w:rFonts w:ascii="Arial" w:hAnsi="Arial" w:cs="Arial"/>
          <w:color w:val="000000" w:themeColor="text1"/>
          <w:sz w:val="24"/>
          <w:szCs w:val="24"/>
        </w:rPr>
        <w:t>ing</w:t>
      </w:r>
      <w:r w:rsidR="001C7667">
        <w:rPr>
          <w:rFonts w:ascii="Arial" w:hAnsi="Arial" w:cs="Arial"/>
          <w:color w:val="000000" w:themeColor="text1"/>
          <w:sz w:val="24"/>
          <w:szCs w:val="24"/>
        </w:rPr>
        <w:t xml:space="preserve"> rural communities in order to be consistent with the RDS and the SPPS.</w:t>
      </w:r>
      <w:r w:rsidR="00324DF9">
        <w:rPr>
          <w:rFonts w:ascii="Arial" w:hAnsi="Arial" w:cs="Arial"/>
          <w:color w:val="000000" w:themeColor="text1"/>
          <w:sz w:val="24"/>
          <w:szCs w:val="24"/>
        </w:rPr>
        <w:t xml:space="preserve"> </w:t>
      </w:r>
    </w:p>
    <w:p w:rsidR="00FD7105" w:rsidRDefault="00FD7105" w:rsidP="00384661">
      <w:pPr>
        <w:pStyle w:val="EndnoteText"/>
        <w:autoSpaceDE w:val="0"/>
        <w:autoSpaceDN w:val="0"/>
        <w:adjustRightInd w:val="0"/>
        <w:ind w:left="720" w:hanging="720"/>
        <w:rPr>
          <w:rFonts w:ascii="Arial" w:hAnsi="Arial" w:cs="Arial"/>
          <w:color w:val="000000" w:themeColor="text1"/>
          <w:sz w:val="24"/>
          <w:szCs w:val="24"/>
        </w:rPr>
      </w:pPr>
    </w:p>
    <w:p w:rsidR="00FD7105" w:rsidRDefault="00FD7105" w:rsidP="00384661">
      <w:pPr>
        <w:pStyle w:val="EndnoteText"/>
        <w:autoSpaceDE w:val="0"/>
        <w:autoSpaceDN w:val="0"/>
        <w:adjustRightInd w:val="0"/>
        <w:ind w:left="720" w:hanging="720"/>
        <w:rPr>
          <w:rFonts w:ascii="Arial" w:hAnsi="Arial" w:cs="Arial"/>
          <w:color w:val="000000" w:themeColor="text1"/>
          <w:sz w:val="24"/>
          <w:szCs w:val="24"/>
        </w:rPr>
      </w:pPr>
      <w:r>
        <w:rPr>
          <w:rFonts w:ascii="Arial" w:hAnsi="Arial" w:cs="Arial"/>
          <w:color w:val="000000" w:themeColor="text1"/>
          <w:sz w:val="24"/>
          <w:szCs w:val="24"/>
        </w:rPr>
        <w:t>7.5</w:t>
      </w:r>
      <w:r>
        <w:rPr>
          <w:rFonts w:ascii="Arial" w:hAnsi="Arial" w:cs="Arial"/>
          <w:color w:val="000000" w:themeColor="text1"/>
          <w:sz w:val="24"/>
          <w:szCs w:val="24"/>
        </w:rPr>
        <w:tab/>
        <w:t>It is therefore recommended that:</w:t>
      </w:r>
    </w:p>
    <w:p w:rsidR="00FD7105" w:rsidRDefault="00FD7105" w:rsidP="00384661">
      <w:pPr>
        <w:pStyle w:val="EndnoteText"/>
        <w:autoSpaceDE w:val="0"/>
        <w:autoSpaceDN w:val="0"/>
        <w:adjustRightInd w:val="0"/>
        <w:ind w:left="720" w:hanging="720"/>
        <w:rPr>
          <w:rFonts w:ascii="Arial" w:hAnsi="Arial" w:cs="Arial"/>
          <w:color w:val="000000" w:themeColor="text1"/>
          <w:sz w:val="24"/>
          <w:szCs w:val="24"/>
        </w:rPr>
      </w:pPr>
      <w:r>
        <w:rPr>
          <w:rFonts w:ascii="Arial" w:hAnsi="Arial" w:cs="Arial"/>
          <w:color w:val="000000" w:themeColor="text1"/>
          <w:sz w:val="24"/>
          <w:szCs w:val="24"/>
        </w:rPr>
        <w:tab/>
        <w:t xml:space="preserve"> </w:t>
      </w:r>
    </w:p>
    <w:p w:rsidR="00FD7105" w:rsidRDefault="00FD7105" w:rsidP="00FD7105">
      <w:pPr>
        <w:pStyle w:val="EndnoteText"/>
        <w:numPr>
          <w:ilvl w:val="0"/>
          <w:numId w:val="20"/>
        </w:num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This paper is t</w:t>
      </w:r>
      <w:r w:rsidR="003B36A3">
        <w:rPr>
          <w:rFonts w:ascii="Arial" w:hAnsi="Arial" w:cs="Arial"/>
          <w:color w:val="000000" w:themeColor="text1"/>
          <w:sz w:val="24"/>
          <w:szCs w:val="24"/>
        </w:rPr>
        <w:t>aken into account when formulating</w:t>
      </w:r>
      <w:bookmarkStart w:id="0" w:name="_GoBack"/>
      <w:bookmarkEnd w:id="0"/>
      <w:r>
        <w:rPr>
          <w:rFonts w:ascii="Arial" w:hAnsi="Arial" w:cs="Arial"/>
          <w:color w:val="000000" w:themeColor="text1"/>
          <w:sz w:val="24"/>
          <w:szCs w:val="24"/>
        </w:rPr>
        <w:t xml:space="preserve"> countryside planning policies;</w:t>
      </w:r>
    </w:p>
    <w:p w:rsidR="00FD7105" w:rsidRDefault="00FD7105" w:rsidP="00FD7105">
      <w:pPr>
        <w:pStyle w:val="EndnoteText"/>
        <w:numPr>
          <w:ilvl w:val="0"/>
          <w:numId w:val="20"/>
        </w:num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The paper be sent to NIEA for consideration as it forms part of the Countryside Assessment;</w:t>
      </w:r>
    </w:p>
    <w:p w:rsidR="00FD7105" w:rsidRDefault="00FD7105" w:rsidP="00FD7105">
      <w:pPr>
        <w:pStyle w:val="EndnoteText"/>
        <w:numPr>
          <w:ilvl w:val="0"/>
          <w:numId w:val="20"/>
        </w:num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The development pressure analysis is part of the Countryside Assessment and as such it is part of the Sustainability Appraisal which incorporates the Strategic Environmental Assessment (SEA) and should be taken into account when formulating the LDP.</w:t>
      </w:r>
    </w:p>
    <w:p w:rsidR="00FB3EC7" w:rsidRDefault="00FB3EC7" w:rsidP="00384661">
      <w:pPr>
        <w:pStyle w:val="EndnoteText"/>
        <w:autoSpaceDE w:val="0"/>
        <w:autoSpaceDN w:val="0"/>
        <w:adjustRightInd w:val="0"/>
        <w:ind w:left="720" w:hanging="720"/>
        <w:rPr>
          <w:rFonts w:ascii="Arial" w:hAnsi="Arial" w:cs="Arial"/>
          <w:color w:val="000000" w:themeColor="text1"/>
          <w:sz w:val="24"/>
          <w:szCs w:val="24"/>
        </w:rPr>
      </w:pPr>
    </w:p>
    <w:p w:rsidR="007F2D8D" w:rsidRDefault="00AE43D8" w:rsidP="00384661">
      <w:pPr>
        <w:pStyle w:val="EndnoteText"/>
        <w:autoSpaceDE w:val="0"/>
        <w:autoSpaceDN w:val="0"/>
        <w:adjustRightInd w:val="0"/>
        <w:rPr>
          <w:rFonts w:ascii="Calibri" w:hAnsi="Calibri"/>
          <w:color w:val="000000" w:themeColor="text1"/>
          <w:sz w:val="22"/>
          <w:szCs w:val="22"/>
        </w:rPr>
      </w:pPr>
      <w:r>
        <w:rPr>
          <w:rFonts w:ascii="Calibri" w:hAnsi="Calibri"/>
          <w:color w:val="000000" w:themeColor="text1"/>
          <w:sz w:val="22"/>
          <w:szCs w:val="22"/>
        </w:rPr>
        <w:t xml:space="preserve">  </w:t>
      </w:r>
    </w:p>
    <w:p w:rsidR="00AE43D8" w:rsidRDefault="00AE43D8" w:rsidP="00384661">
      <w:pPr>
        <w:pStyle w:val="EndnoteText"/>
        <w:autoSpaceDE w:val="0"/>
        <w:autoSpaceDN w:val="0"/>
        <w:adjustRightInd w:val="0"/>
        <w:rPr>
          <w:rFonts w:ascii="Calibri" w:hAnsi="Calibri"/>
          <w:color w:val="000000" w:themeColor="text1"/>
          <w:sz w:val="22"/>
          <w:szCs w:val="22"/>
        </w:rPr>
      </w:pPr>
    </w:p>
    <w:p w:rsidR="007F2D8D" w:rsidRDefault="007F2D8D" w:rsidP="00384661">
      <w:pPr>
        <w:pStyle w:val="EndnoteText"/>
        <w:autoSpaceDE w:val="0"/>
        <w:autoSpaceDN w:val="0"/>
        <w:adjustRightInd w:val="0"/>
        <w:rPr>
          <w:rFonts w:ascii="Calibri" w:hAnsi="Calibri"/>
          <w:color w:val="000000" w:themeColor="text1"/>
          <w:sz w:val="22"/>
          <w:szCs w:val="22"/>
        </w:rPr>
      </w:pPr>
    </w:p>
    <w:p w:rsidR="007F2D8D" w:rsidRDefault="007F2D8D" w:rsidP="00384661">
      <w:pPr>
        <w:pStyle w:val="EndnoteText"/>
        <w:autoSpaceDE w:val="0"/>
        <w:autoSpaceDN w:val="0"/>
        <w:adjustRightInd w:val="0"/>
        <w:rPr>
          <w:rFonts w:ascii="Calibri" w:hAnsi="Calibri"/>
          <w:color w:val="000000" w:themeColor="text1"/>
          <w:sz w:val="22"/>
          <w:szCs w:val="22"/>
        </w:rPr>
      </w:pPr>
    </w:p>
    <w:p w:rsidR="007F2D8D" w:rsidRDefault="007F2D8D" w:rsidP="00384661">
      <w:pPr>
        <w:pStyle w:val="EndnoteText"/>
        <w:autoSpaceDE w:val="0"/>
        <w:autoSpaceDN w:val="0"/>
        <w:adjustRightInd w:val="0"/>
        <w:rPr>
          <w:rFonts w:ascii="Calibri" w:hAnsi="Calibri"/>
          <w:color w:val="000000" w:themeColor="text1"/>
          <w:sz w:val="22"/>
          <w:szCs w:val="22"/>
        </w:rPr>
      </w:pPr>
    </w:p>
    <w:p w:rsidR="007F2D8D" w:rsidRDefault="007F2D8D" w:rsidP="00384661">
      <w:pPr>
        <w:pStyle w:val="EndnoteText"/>
        <w:autoSpaceDE w:val="0"/>
        <w:autoSpaceDN w:val="0"/>
        <w:adjustRightInd w:val="0"/>
        <w:rPr>
          <w:rFonts w:ascii="Calibri" w:hAnsi="Calibri"/>
          <w:color w:val="000000" w:themeColor="text1"/>
          <w:sz w:val="22"/>
          <w:szCs w:val="22"/>
        </w:rPr>
      </w:pPr>
    </w:p>
    <w:p w:rsidR="007F2D8D" w:rsidRDefault="007F2D8D" w:rsidP="00384661">
      <w:pPr>
        <w:pStyle w:val="EndnoteText"/>
        <w:autoSpaceDE w:val="0"/>
        <w:autoSpaceDN w:val="0"/>
        <w:adjustRightInd w:val="0"/>
        <w:rPr>
          <w:rFonts w:ascii="Calibri" w:hAnsi="Calibri"/>
          <w:color w:val="000000" w:themeColor="text1"/>
          <w:sz w:val="22"/>
          <w:szCs w:val="22"/>
        </w:rPr>
      </w:pPr>
    </w:p>
    <w:p w:rsidR="007F2D8D" w:rsidRDefault="007F2D8D" w:rsidP="00384661">
      <w:pPr>
        <w:pStyle w:val="EndnoteText"/>
        <w:autoSpaceDE w:val="0"/>
        <w:autoSpaceDN w:val="0"/>
        <w:adjustRightInd w:val="0"/>
        <w:rPr>
          <w:rFonts w:ascii="Calibri" w:hAnsi="Calibri"/>
          <w:color w:val="000000" w:themeColor="text1"/>
          <w:sz w:val="22"/>
          <w:szCs w:val="22"/>
        </w:rPr>
      </w:pPr>
    </w:p>
    <w:p w:rsidR="007F2D8D" w:rsidRDefault="007F2D8D" w:rsidP="00384661">
      <w:pPr>
        <w:pStyle w:val="EndnoteText"/>
        <w:autoSpaceDE w:val="0"/>
        <w:autoSpaceDN w:val="0"/>
        <w:adjustRightInd w:val="0"/>
        <w:rPr>
          <w:rFonts w:ascii="Calibri" w:hAnsi="Calibri"/>
          <w:color w:val="000000" w:themeColor="text1"/>
          <w:sz w:val="22"/>
          <w:szCs w:val="22"/>
        </w:rPr>
      </w:pPr>
    </w:p>
    <w:p w:rsidR="007F2D8D" w:rsidRDefault="007F2D8D" w:rsidP="00384661">
      <w:pPr>
        <w:pStyle w:val="EndnoteText"/>
        <w:autoSpaceDE w:val="0"/>
        <w:autoSpaceDN w:val="0"/>
        <w:adjustRightInd w:val="0"/>
        <w:rPr>
          <w:rFonts w:ascii="Calibri" w:hAnsi="Calibri"/>
          <w:color w:val="000000" w:themeColor="text1"/>
          <w:sz w:val="22"/>
          <w:szCs w:val="22"/>
        </w:rPr>
      </w:pPr>
    </w:p>
    <w:p w:rsidR="007F2D8D" w:rsidRDefault="007F2D8D" w:rsidP="00384661">
      <w:pPr>
        <w:pStyle w:val="EndnoteText"/>
        <w:autoSpaceDE w:val="0"/>
        <w:autoSpaceDN w:val="0"/>
        <w:adjustRightInd w:val="0"/>
        <w:rPr>
          <w:rFonts w:ascii="Calibri" w:hAnsi="Calibri"/>
          <w:color w:val="000000" w:themeColor="text1"/>
          <w:sz w:val="22"/>
          <w:szCs w:val="22"/>
        </w:rPr>
      </w:pPr>
    </w:p>
    <w:p w:rsidR="007F2D8D" w:rsidRDefault="007F2D8D" w:rsidP="00384661">
      <w:pPr>
        <w:pStyle w:val="EndnoteText"/>
        <w:autoSpaceDE w:val="0"/>
        <w:autoSpaceDN w:val="0"/>
        <w:adjustRightInd w:val="0"/>
        <w:rPr>
          <w:rFonts w:ascii="Calibri" w:hAnsi="Calibri"/>
          <w:color w:val="000000" w:themeColor="text1"/>
          <w:sz w:val="22"/>
          <w:szCs w:val="22"/>
        </w:rPr>
      </w:pPr>
    </w:p>
    <w:p w:rsidR="007F2D8D" w:rsidRDefault="007F2D8D" w:rsidP="00384661">
      <w:pPr>
        <w:pStyle w:val="EndnoteText"/>
        <w:autoSpaceDE w:val="0"/>
        <w:autoSpaceDN w:val="0"/>
        <w:adjustRightInd w:val="0"/>
        <w:rPr>
          <w:rFonts w:ascii="Calibri" w:hAnsi="Calibri"/>
          <w:color w:val="000000" w:themeColor="text1"/>
          <w:sz w:val="22"/>
          <w:szCs w:val="22"/>
        </w:rPr>
      </w:pPr>
    </w:p>
    <w:p w:rsidR="007F2D8D" w:rsidRDefault="007F2D8D" w:rsidP="00384661">
      <w:pPr>
        <w:pStyle w:val="EndnoteText"/>
        <w:autoSpaceDE w:val="0"/>
        <w:autoSpaceDN w:val="0"/>
        <w:adjustRightInd w:val="0"/>
        <w:rPr>
          <w:rFonts w:ascii="Calibri" w:hAnsi="Calibri"/>
          <w:color w:val="000000" w:themeColor="text1"/>
          <w:sz w:val="22"/>
          <w:szCs w:val="22"/>
        </w:rPr>
      </w:pPr>
    </w:p>
    <w:p w:rsidR="007F2D8D" w:rsidRDefault="007F2D8D" w:rsidP="00384661">
      <w:pPr>
        <w:pStyle w:val="EndnoteText"/>
        <w:autoSpaceDE w:val="0"/>
        <w:autoSpaceDN w:val="0"/>
        <w:adjustRightInd w:val="0"/>
        <w:rPr>
          <w:rFonts w:ascii="Calibri" w:hAnsi="Calibri"/>
          <w:color w:val="000000" w:themeColor="text1"/>
          <w:sz w:val="22"/>
          <w:szCs w:val="22"/>
        </w:rPr>
      </w:pPr>
    </w:p>
    <w:p w:rsidR="007F2D8D" w:rsidRDefault="007F2D8D" w:rsidP="00384661">
      <w:pPr>
        <w:pStyle w:val="EndnoteText"/>
        <w:autoSpaceDE w:val="0"/>
        <w:autoSpaceDN w:val="0"/>
        <w:adjustRightInd w:val="0"/>
        <w:rPr>
          <w:rFonts w:ascii="Calibri" w:hAnsi="Calibri"/>
          <w:color w:val="000000" w:themeColor="text1"/>
          <w:sz w:val="22"/>
          <w:szCs w:val="22"/>
        </w:rPr>
      </w:pPr>
    </w:p>
    <w:p w:rsidR="007F2D8D" w:rsidRPr="0009574A" w:rsidRDefault="007F2D8D" w:rsidP="00384661">
      <w:pPr>
        <w:pStyle w:val="Footer"/>
        <w:tabs>
          <w:tab w:val="clear" w:pos="9026"/>
          <w:tab w:val="left" w:pos="7530"/>
        </w:tabs>
        <w:rPr>
          <w:rFonts w:ascii="Calibri" w:hAnsi="Calibri"/>
          <w:color w:val="000000" w:themeColor="text1"/>
        </w:rPr>
      </w:pPr>
      <w:r>
        <w:rPr>
          <w:sz w:val="20"/>
          <w:szCs w:val="20"/>
        </w:rPr>
        <w:tab/>
      </w:r>
    </w:p>
    <w:sectPr w:rsidR="007F2D8D" w:rsidRPr="0009574A" w:rsidSect="00C579BD">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6E8" w:rsidRDefault="00F866E8" w:rsidP="002C08C2">
      <w:pPr>
        <w:spacing w:after="0" w:line="240" w:lineRule="auto"/>
      </w:pPr>
      <w:r>
        <w:separator/>
      </w:r>
    </w:p>
  </w:endnote>
  <w:endnote w:type="continuationSeparator" w:id="0">
    <w:p w:rsidR="00F866E8" w:rsidRDefault="00F866E8" w:rsidP="002C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270375"/>
      <w:docPartObj>
        <w:docPartGallery w:val="Page Numbers (Bottom of Page)"/>
        <w:docPartUnique/>
      </w:docPartObj>
    </w:sdtPr>
    <w:sdtEndPr>
      <w:rPr>
        <w:noProof/>
      </w:rPr>
    </w:sdtEndPr>
    <w:sdtContent>
      <w:p w:rsidR="00F866E8" w:rsidRDefault="00F866E8">
        <w:pPr>
          <w:pStyle w:val="Footer"/>
          <w:jc w:val="center"/>
        </w:pPr>
        <w:r>
          <w:fldChar w:fldCharType="begin"/>
        </w:r>
        <w:r>
          <w:instrText xml:space="preserve"> PAGE   \* MERGEFORMAT </w:instrText>
        </w:r>
        <w:r>
          <w:fldChar w:fldCharType="separate"/>
        </w:r>
        <w:r w:rsidR="003B36A3">
          <w:rPr>
            <w:noProof/>
          </w:rPr>
          <w:t>12</w:t>
        </w:r>
        <w:r>
          <w:rPr>
            <w:noProof/>
          </w:rPr>
          <w:fldChar w:fldCharType="end"/>
        </w:r>
      </w:p>
    </w:sdtContent>
  </w:sdt>
  <w:p w:rsidR="00F866E8" w:rsidRDefault="00F866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6E8" w:rsidRDefault="00F866E8" w:rsidP="002C08C2">
      <w:pPr>
        <w:spacing w:after="0" w:line="240" w:lineRule="auto"/>
      </w:pPr>
      <w:r>
        <w:separator/>
      </w:r>
    </w:p>
  </w:footnote>
  <w:footnote w:type="continuationSeparator" w:id="0">
    <w:p w:rsidR="00F866E8" w:rsidRDefault="00F866E8" w:rsidP="002C08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7869"/>
    <w:multiLevelType w:val="multilevel"/>
    <w:tmpl w:val="57B2DAD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04217E"/>
    <w:multiLevelType w:val="multilevel"/>
    <w:tmpl w:val="A238CE34"/>
    <w:lvl w:ilvl="0">
      <w:start w:val="1"/>
      <w:numFmt w:val="decimal"/>
      <w:lvlText w:val="%1.0"/>
      <w:lvlJc w:val="left"/>
      <w:pPr>
        <w:ind w:left="720" w:hanging="720"/>
      </w:pPr>
      <w:rPr>
        <w:rFonts w:hint="default"/>
        <w:b/>
        <w:sz w:val="28"/>
        <w:szCs w:val="28"/>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E237A3E"/>
    <w:multiLevelType w:val="multilevel"/>
    <w:tmpl w:val="D1F0856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1A0911"/>
    <w:multiLevelType w:val="hybridMultilevel"/>
    <w:tmpl w:val="048E31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7CF15E2"/>
    <w:multiLevelType w:val="multilevel"/>
    <w:tmpl w:val="79866D66"/>
    <w:lvl w:ilvl="0">
      <w:start w:val="6"/>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CA22CF8"/>
    <w:multiLevelType w:val="multilevel"/>
    <w:tmpl w:val="A52E6A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616461"/>
    <w:multiLevelType w:val="hybridMultilevel"/>
    <w:tmpl w:val="5D9EF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780FA8"/>
    <w:multiLevelType w:val="multilevel"/>
    <w:tmpl w:val="A77857C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8B6108"/>
    <w:multiLevelType w:val="multilevel"/>
    <w:tmpl w:val="6BB6BD2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212284"/>
    <w:multiLevelType w:val="multilevel"/>
    <w:tmpl w:val="C47C715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A80419"/>
    <w:multiLevelType w:val="multilevel"/>
    <w:tmpl w:val="E30E1A60"/>
    <w:lvl w:ilvl="0">
      <w:start w:val="6"/>
      <w:numFmt w:val="decimal"/>
      <w:lvlText w:val="%1"/>
      <w:lvlJc w:val="left"/>
      <w:pPr>
        <w:ind w:left="360" w:hanging="360"/>
      </w:pPr>
      <w:rPr>
        <w:rFonts w:hint="default"/>
      </w:rPr>
    </w:lvl>
    <w:lvl w:ilvl="1">
      <w:start w:val="4"/>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42FA3591"/>
    <w:multiLevelType w:val="multilevel"/>
    <w:tmpl w:val="8E1C6AC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4F8166A"/>
    <w:multiLevelType w:val="hybridMultilevel"/>
    <w:tmpl w:val="A004459A"/>
    <w:lvl w:ilvl="0" w:tplc="EB0A64E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4B09642C"/>
    <w:multiLevelType w:val="multilevel"/>
    <w:tmpl w:val="862251F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0B4C9C"/>
    <w:multiLevelType w:val="multilevel"/>
    <w:tmpl w:val="6098FC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6D5F43"/>
    <w:multiLevelType w:val="hybridMultilevel"/>
    <w:tmpl w:val="5A224180"/>
    <w:lvl w:ilvl="0" w:tplc="1F6E3EF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2B95049"/>
    <w:multiLevelType w:val="hybridMultilevel"/>
    <w:tmpl w:val="CE529DD4"/>
    <w:lvl w:ilvl="0" w:tplc="70246EC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B3C560E"/>
    <w:multiLevelType w:val="multilevel"/>
    <w:tmpl w:val="52BC7F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560902"/>
    <w:multiLevelType w:val="multilevel"/>
    <w:tmpl w:val="64267B9A"/>
    <w:lvl w:ilvl="0">
      <w:start w:val="6"/>
      <w:numFmt w:val="decimal"/>
      <w:lvlText w:val="%1.0"/>
      <w:lvlJc w:val="left"/>
      <w:pPr>
        <w:ind w:left="1069"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269" w:hanging="1800"/>
      </w:pPr>
      <w:rPr>
        <w:rFonts w:hint="default"/>
      </w:rPr>
    </w:lvl>
  </w:abstractNum>
  <w:abstractNum w:abstractNumId="19" w15:restartNumberingAfterBreak="0">
    <w:nsid w:val="718846E9"/>
    <w:multiLevelType w:val="multilevel"/>
    <w:tmpl w:val="2BFE125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6"/>
  </w:num>
  <w:num w:numId="2">
    <w:abstractNumId w:val="1"/>
  </w:num>
  <w:num w:numId="3">
    <w:abstractNumId w:val="19"/>
  </w:num>
  <w:num w:numId="4">
    <w:abstractNumId w:val="12"/>
  </w:num>
  <w:num w:numId="5">
    <w:abstractNumId w:val="15"/>
  </w:num>
  <w:num w:numId="6">
    <w:abstractNumId w:val="11"/>
  </w:num>
  <w:num w:numId="7">
    <w:abstractNumId w:val="9"/>
  </w:num>
  <w:num w:numId="8">
    <w:abstractNumId w:val="0"/>
  </w:num>
  <w:num w:numId="9">
    <w:abstractNumId w:val="18"/>
  </w:num>
  <w:num w:numId="10">
    <w:abstractNumId w:val="3"/>
  </w:num>
  <w:num w:numId="11">
    <w:abstractNumId w:val="17"/>
  </w:num>
  <w:num w:numId="12">
    <w:abstractNumId w:val="5"/>
  </w:num>
  <w:num w:numId="13">
    <w:abstractNumId w:val="14"/>
  </w:num>
  <w:num w:numId="14">
    <w:abstractNumId w:val="4"/>
  </w:num>
  <w:num w:numId="15">
    <w:abstractNumId w:val="8"/>
  </w:num>
  <w:num w:numId="16">
    <w:abstractNumId w:val="7"/>
  </w:num>
  <w:num w:numId="17">
    <w:abstractNumId w:val="10"/>
  </w:num>
  <w:num w:numId="18">
    <w:abstractNumId w:val="2"/>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6C"/>
    <w:rsid w:val="00026035"/>
    <w:rsid w:val="00026BDC"/>
    <w:rsid w:val="00027069"/>
    <w:rsid w:val="00045E9D"/>
    <w:rsid w:val="00080DA7"/>
    <w:rsid w:val="00092AF6"/>
    <w:rsid w:val="00094C59"/>
    <w:rsid w:val="0009574A"/>
    <w:rsid w:val="000A1194"/>
    <w:rsid w:val="000B45BA"/>
    <w:rsid w:val="000C0F2F"/>
    <w:rsid w:val="000C32E3"/>
    <w:rsid w:val="000C5556"/>
    <w:rsid w:val="000D042F"/>
    <w:rsid w:val="000D0DBE"/>
    <w:rsid w:val="000D0EED"/>
    <w:rsid w:val="000D1589"/>
    <w:rsid w:val="000E0F88"/>
    <w:rsid w:val="000E6B34"/>
    <w:rsid w:val="0010213F"/>
    <w:rsid w:val="00102241"/>
    <w:rsid w:val="001030A1"/>
    <w:rsid w:val="00104A2F"/>
    <w:rsid w:val="001070ED"/>
    <w:rsid w:val="001144E4"/>
    <w:rsid w:val="00117FBA"/>
    <w:rsid w:val="00124892"/>
    <w:rsid w:val="00130E91"/>
    <w:rsid w:val="001353CD"/>
    <w:rsid w:val="00136B5D"/>
    <w:rsid w:val="0014034E"/>
    <w:rsid w:val="00162B05"/>
    <w:rsid w:val="00164BED"/>
    <w:rsid w:val="0018137D"/>
    <w:rsid w:val="00182900"/>
    <w:rsid w:val="001844A1"/>
    <w:rsid w:val="0019759B"/>
    <w:rsid w:val="001A1FB5"/>
    <w:rsid w:val="001B0016"/>
    <w:rsid w:val="001B0271"/>
    <w:rsid w:val="001B0891"/>
    <w:rsid w:val="001B0C24"/>
    <w:rsid w:val="001B52A8"/>
    <w:rsid w:val="001C0494"/>
    <w:rsid w:val="001C2A7B"/>
    <w:rsid w:val="001C7667"/>
    <w:rsid w:val="001E3309"/>
    <w:rsid w:val="001E3D29"/>
    <w:rsid w:val="001F328A"/>
    <w:rsid w:val="001F7882"/>
    <w:rsid w:val="002122CA"/>
    <w:rsid w:val="00213384"/>
    <w:rsid w:val="00213B81"/>
    <w:rsid w:val="00213E81"/>
    <w:rsid w:val="002225B8"/>
    <w:rsid w:val="00227049"/>
    <w:rsid w:val="002307CD"/>
    <w:rsid w:val="0023131E"/>
    <w:rsid w:val="00237971"/>
    <w:rsid w:val="00261DD0"/>
    <w:rsid w:val="00270606"/>
    <w:rsid w:val="00276BDF"/>
    <w:rsid w:val="00281A84"/>
    <w:rsid w:val="0028528A"/>
    <w:rsid w:val="002872A3"/>
    <w:rsid w:val="00293F7C"/>
    <w:rsid w:val="002960E1"/>
    <w:rsid w:val="00297DEE"/>
    <w:rsid w:val="002A5CFE"/>
    <w:rsid w:val="002A6C13"/>
    <w:rsid w:val="002B240C"/>
    <w:rsid w:val="002B4D2E"/>
    <w:rsid w:val="002B5807"/>
    <w:rsid w:val="002C08C2"/>
    <w:rsid w:val="002D5D5F"/>
    <w:rsid w:val="002F053E"/>
    <w:rsid w:val="002F0DD5"/>
    <w:rsid w:val="002F1331"/>
    <w:rsid w:val="002F3610"/>
    <w:rsid w:val="002F3D22"/>
    <w:rsid w:val="002F5FBC"/>
    <w:rsid w:val="002F7E68"/>
    <w:rsid w:val="00301767"/>
    <w:rsid w:val="00303277"/>
    <w:rsid w:val="00305B4A"/>
    <w:rsid w:val="00306CA6"/>
    <w:rsid w:val="0031548E"/>
    <w:rsid w:val="003214DD"/>
    <w:rsid w:val="00324DF9"/>
    <w:rsid w:val="00330D31"/>
    <w:rsid w:val="003328E6"/>
    <w:rsid w:val="00334C5B"/>
    <w:rsid w:val="00340EBD"/>
    <w:rsid w:val="003504DE"/>
    <w:rsid w:val="00351C06"/>
    <w:rsid w:val="00354CDC"/>
    <w:rsid w:val="00363AD7"/>
    <w:rsid w:val="00370E74"/>
    <w:rsid w:val="00375705"/>
    <w:rsid w:val="00384661"/>
    <w:rsid w:val="00385F16"/>
    <w:rsid w:val="003912E9"/>
    <w:rsid w:val="00391443"/>
    <w:rsid w:val="003A15EE"/>
    <w:rsid w:val="003A47F7"/>
    <w:rsid w:val="003B36A3"/>
    <w:rsid w:val="003C6D68"/>
    <w:rsid w:val="003D03DA"/>
    <w:rsid w:val="003E123A"/>
    <w:rsid w:val="003E1E48"/>
    <w:rsid w:val="003F17C3"/>
    <w:rsid w:val="003F45FC"/>
    <w:rsid w:val="00401118"/>
    <w:rsid w:val="00405A61"/>
    <w:rsid w:val="0041616F"/>
    <w:rsid w:val="00422F45"/>
    <w:rsid w:val="00423CCA"/>
    <w:rsid w:val="00425F72"/>
    <w:rsid w:val="004441AB"/>
    <w:rsid w:val="004449F6"/>
    <w:rsid w:val="00450A5A"/>
    <w:rsid w:val="00473310"/>
    <w:rsid w:val="00480C72"/>
    <w:rsid w:val="00483BB8"/>
    <w:rsid w:val="0049375F"/>
    <w:rsid w:val="00493B68"/>
    <w:rsid w:val="004B0057"/>
    <w:rsid w:val="004B1D3B"/>
    <w:rsid w:val="004B4A17"/>
    <w:rsid w:val="004D1C8F"/>
    <w:rsid w:val="004D4EB0"/>
    <w:rsid w:val="004E3B45"/>
    <w:rsid w:val="004F5124"/>
    <w:rsid w:val="00511E9E"/>
    <w:rsid w:val="0051332A"/>
    <w:rsid w:val="005472B1"/>
    <w:rsid w:val="00553036"/>
    <w:rsid w:val="00576391"/>
    <w:rsid w:val="00581D6B"/>
    <w:rsid w:val="00586DF7"/>
    <w:rsid w:val="0059233F"/>
    <w:rsid w:val="00594B73"/>
    <w:rsid w:val="00596D6F"/>
    <w:rsid w:val="005C1B9C"/>
    <w:rsid w:val="005C5041"/>
    <w:rsid w:val="005C7A26"/>
    <w:rsid w:val="005D33ED"/>
    <w:rsid w:val="005D549E"/>
    <w:rsid w:val="005D5506"/>
    <w:rsid w:val="005D7506"/>
    <w:rsid w:val="005E630D"/>
    <w:rsid w:val="005F20F2"/>
    <w:rsid w:val="005F2E35"/>
    <w:rsid w:val="00601015"/>
    <w:rsid w:val="00606ED7"/>
    <w:rsid w:val="00610D77"/>
    <w:rsid w:val="006149AE"/>
    <w:rsid w:val="00625B6A"/>
    <w:rsid w:val="0062784C"/>
    <w:rsid w:val="00627FDB"/>
    <w:rsid w:val="00631495"/>
    <w:rsid w:val="0063162B"/>
    <w:rsid w:val="006324D9"/>
    <w:rsid w:val="006451B0"/>
    <w:rsid w:val="00650E23"/>
    <w:rsid w:val="00653F8C"/>
    <w:rsid w:val="0065431C"/>
    <w:rsid w:val="006669A2"/>
    <w:rsid w:val="00672E4F"/>
    <w:rsid w:val="00680F6E"/>
    <w:rsid w:val="00686375"/>
    <w:rsid w:val="00687EB9"/>
    <w:rsid w:val="0069360E"/>
    <w:rsid w:val="00696329"/>
    <w:rsid w:val="006973F5"/>
    <w:rsid w:val="006B0E5A"/>
    <w:rsid w:val="006B2097"/>
    <w:rsid w:val="006D5493"/>
    <w:rsid w:val="006E0CC6"/>
    <w:rsid w:val="006E0CF0"/>
    <w:rsid w:val="006E2DEE"/>
    <w:rsid w:val="007236D0"/>
    <w:rsid w:val="007246C7"/>
    <w:rsid w:val="00750FE8"/>
    <w:rsid w:val="00755483"/>
    <w:rsid w:val="0075663F"/>
    <w:rsid w:val="00762A82"/>
    <w:rsid w:val="00786138"/>
    <w:rsid w:val="007A0746"/>
    <w:rsid w:val="007A450E"/>
    <w:rsid w:val="007A5EEA"/>
    <w:rsid w:val="007B62FC"/>
    <w:rsid w:val="007B6876"/>
    <w:rsid w:val="007C0E46"/>
    <w:rsid w:val="007D3F18"/>
    <w:rsid w:val="007D6CFB"/>
    <w:rsid w:val="007E5C46"/>
    <w:rsid w:val="007F0D0F"/>
    <w:rsid w:val="007F1338"/>
    <w:rsid w:val="007F2D8D"/>
    <w:rsid w:val="00805B3A"/>
    <w:rsid w:val="008212BF"/>
    <w:rsid w:val="00823E91"/>
    <w:rsid w:val="00833941"/>
    <w:rsid w:val="00845E87"/>
    <w:rsid w:val="0084704B"/>
    <w:rsid w:val="00853F5B"/>
    <w:rsid w:val="00863F62"/>
    <w:rsid w:val="00867E3F"/>
    <w:rsid w:val="008768EE"/>
    <w:rsid w:val="00880A6B"/>
    <w:rsid w:val="00881949"/>
    <w:rsid w:val="00886AC9"/>
    <w:rsid w:val="00897D1D"/>
    <w:rsid w:val="008A3242"/>
    <w:rsid w:val="008B4ABE"/>
    <w:rsid w:val="008C288B"/>
    <w:rsid w:val="008C4563"/>
    <w:rsid w:val="008C4B15"/>
    <w:rsid w:val="008D097C"/>
    <w:rsid w:val="008E18E4"/>
    <w:rsid w:val="008F0331"/>
    <w:rsid w:val="00900CDF"/>
    <w:rsid w:val="00911BAF"/>
    <w:rsid w:val="00913C98"/>
    <w:rsid w:val="00931388"/>
    <w:rsid w:val="0093572E"/>
    <w:rsid w:val="00941478"/>
    <w:rsid w:val="00944167"/>
    <w:rsid w:val="00945B7C"/>
    <w:rsid w:val="009564E7"/>
    <w:rsid w:val="00956985"/>
    <w:rsid w:val="00974850"/>
    <w:rsid w:val="00975602"/>
    <w:rsid w:val="00977540"/>
    <w:rsid w:val="00981F28"/>
    <w:rsid w:val="00990B43"/>
    <w:rsid w:val="00992DC1"/>
    <w:rsid w:val="00993455"/>
    <w:rsid w:val="009A0E55"/>
    <w:rsid w:val="009A13B9"/>
    <w:rsid w:val="009A1DFB"/>
    <w:rsid w:val="009B1638"/>
    <w:rsid w:val="009B69D4"/>
    <w:rsid w:val="009C0AA3"/>
    <w:rsid w:val="009D28EA"/>
    <w:rsid w:val="009D3DA1"/>
    <w:rsid w:val="009D5A53"/>
    <w:rsid w:val="009D676E"/>
    <w:rsid w:val="009D7C31"/>
    <w:rsid w:val="009E166D"/>
    <w:rsid w:val="009F0C6F"/>
    <w:rsid w:val="00A0707A"/>
    <w:rsid w:val="00A117C9"/>
    <w:rsid w:val="00A21308"/>
    <w:rsid w:val="00A2176D"/>
    <w:rsid w:val="00A24FBB"/>
    <w:rsid w:val="00A410DD"/>
    <w:rsid w:val="00A44A39"/>
    <w:rsid w:val="00A47995"/>
    <w:rsid w:val="00A51EB0"/>
    <w:rsid w:val="00A5387F"/>
    <w:rsid w:val="00A57059"/>
    <w:rsid w:val="00A601D4"/>
    <w:rsid w:val="00A677D3"/>
    <w:rsid w:val="00A7407B"/>
    <w:rsid w:val="00A8027D"/>
    <w:rsid w:val="00A81455"/>
    <w:rsid w:val="00A81EB2"/>
    <w:rsid w:val="00A850F1"/>
    <w:rsid w:val="00AA09E0"/>
    <w:rsid w:val="00AA171A"/>
    <w:rsid w:val="00AA7DCA"/>
    <w:rsid w:val="00AB088E"/>
    <w:rsid w:val="00AB2C0D"/>
    <w:rsid w:val="00AB35B0"/>
    <w:rsid w:val="00AC67F1"/>
    <w:rsid w:val="00AD451C"/>
    <w:rsid w:val="00AE43D8"/>
    <w:rsid w:val="00AE472D"/>
    <w:rsid w:val="00AE5803"/>
    <w:rsid w:val="00B0199B"/>
    <w:rsid w:val="00B04CD2"/>
    <w:rsid w:val="00B04E50"/>
    <w:rsid w:val="00B07029"/>
    <w:rsid w:val="00B201A6"/>
    <w:rsid w:val="00B20F58"/>
    <w:rsid w:val="00B3216C"/>
    <w:rsid w:val="00B330C1"/>
    <w:rsid w:val="00B35C03"/>
    <w:rsid w:val="00B511F7"/>
    <w:rsid w:val="00B64033"/>
    <w:rsid w:val="00B64CEA"/>
    <w:rsid w:val="00B75024"/>
    <w:rsid w:val="00B826FD"/>
    <w:rsid w:val="00B836EC"/>
    <w:rsid w:val="00B8422E"/>
    <w:rsid w:val="00BA0770"/>
    <w:rsid w:val="00BA35BE"/>
    <w:rsid w:val="00BA661E"/>
    <w:rsid w:val="00BA7BD2"/>
    <w:rsid w:val="00BC52DC"/>
    <w:rsid w:val="00BC6FD6"/>
    <w:rsid w:val="00BD500E"/>
    <w:rsid w:val="00BE0CF8"/>
    <w:rsid w:val="00BE418F"/>
    <w:rsid w:val="00BE5DB6"/>
    <w:rsid w:val="00BE5EAA"/>
    <w:rsid w:val="00C049EC"/>
    <w:rsid w:val="00C05294"/>
    <w:rsid w:val="00C05571"/>
    <w:rsid w:val="00C10F0B"/>
    <w:rsid w:val="00C21518"/>
    <w:rsid w:val="00C24275"/>
    <w:rsid w:val="00C354AD"/>
    <w:rsid w:val="00C3747D"/>
    <w:rsid w:val="00C41BBA"/>
    <w:rsid w:val="00C4317B"/>
    <w:rsid w:val="00C43B0F"/>
    <w:rsid w:val="00C50DA8"/>
    <w:rsid w:val="00C579BD"/>
    <w:rsid w:val="00C92144"/>
    <w:rsid w:val="00C93C7B"/>
    <w:rsid w:val="00C94D5D"/>
    <w:rsid w:val="00C97F35"/>
    <w:rsid w:val="00CA5101"/>
    <w:rsid w:val="00CB2860"/>
    <w:rsid w:val="00CB3B99"/>
    <w:rsid w:val="00CD1BD3"/>
    <w:rsid w:val="00CD4266"/>
    <w:rsid w:val="00CD584B"/>
    <w:rsid w:val="00CE4028"/>
    <w:rsid w:val="00CF30DA"/>
    <w:rsid w:val="00D048E1"/>
    <w:rsid w:val="00D049CF"/>
    <w:rsid w:val="00D04E92"/>
    <w:rsid w:val="00D20D89"/>
    <w:rsid w:val="00D305D8"/>
    <w:rsid w:val="00D34D0E"/>
    <w:rsid w:val="00D4129A"/>
    <w:rsid w:val="00D51DE1"/>
    <w:rsid w:val="00D52E4C"/>
    <w:rsid w:val="00D64DBA"/>
    <w:rsid w:val="00D67F6E"/>
    <w:rsid w:val="00D75A08"/>
    <w:rsid w:val="00D80D50"/>
    <w:rsid w:val="00D8623E"/>
    <w:rsid w:val="00D93FB3"/>
    <w:rsid w:val="00DA4528"/>
    <w:rsid w:val="00DC03B1"/>
    <w:rsid w:val="00DC3A94"/>
    <w:rsid w:val="00DC52CA"/>
    <w:rsid w:val="00DD1A9B"/>
    <w:rsid w:val="00DD2105"/>
    <w:rsid w:val="00DD7BD7"/>
    <w:rsid w:val="00DE325E"/>
    <w:rsid w:val="00DF30A2"/>
    <w:rsid w:val="00DF7AC1"/>
    <w:rsid w:val="00DF7F6B"/>
    <w:rsid w:val="00E04BC1"/>
    <w:rsid w:val="00E063F5"/>
    <w:rsid w:val="00E13E25"/>
    <w:rsid w:val="00E27283"/>
    <w:rsid w:val="00E273D5"/>
    <w:rsid w:val="00E300D0"/>
    <w:rsid w:val="00E301F4"/>
    <w:rsid w:val="00E32E95"/>
    <w:rsid w:val="00E3651B"/>
    <w:rsid w:val="00E430D1"/>
    <w:rsid w:val="00E54047"/>
    <w:rsid w:val="00E734AB"/>
    <w:rsid w:val="00E73AC5"/>
    <w:rsid w:val="00E7746A"/>
    <w:rsid w:val="00E77A76"/>
    <w:rsid w:val="00E92040"/>
    <w:rsid w:val="00E9484C"/>
    <w:rsid w:val="00EA5294"/>
    <w:rsid w:val="00EB1E52"/>
    <w:rsid w:val="00EB4DBA"/>
    <w:rsid w:val="00EB6F53"/>
    <w:rsid w:val="00EC478F"/>
    <w:rsid w:val="00ED6592"/>
    <w:rsid w:val="00EE6B5C"/>
    <w:rsid w:val="00F0656B"/>
    <w:rsid w:val="00F169A3"/>
    <w:rsid w:val="00F17475"/>
    <w:rsid w:val="00F27A40"/>
    <w:rsid w:val="00F27D75"/>
    <w:rsid w:val="00F31F74"/>
    <w:rsid w:val="00F53E21"/>
    <w:rsid w:val="00F568B0"/>
    <w:rsid w:val="00F56BD1"/>
    <w:rsid w:val="00F73D8D"/>
    <w:rsid w:val="00F802C1"/>
    <w:rsid w:val="00F84067"/>
    <w:rsid w:val="00F85D7F"/>
    <w:rsid w:val="00F866E8"/>
    <w:rsid w:val="00F91196"/>
    <w:rsid w:val="00F96D6B"/>
    <w:rsid w:val="00FA06DA"/>
    <w:rsid w:val="00FB3EC7"/>
    <w:rsid w:val="00FC75C4"/>
    <w:rsid w:val="00FD7105"/>
    <w:rsid w:val="00FE67DB"/>
    <w:rsid w:val="00FE755C"/>
    <w:rsid w:val="00FE7C1E"/>
    <w:rsid w:val="00FF3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0083ADF7-6C4A-4C7A-8438-3548B807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16C"/>
    <w:pPr>
      <w:ind w:left="720"/>
      <w:contextualSpacing/>
    </w:pPr>
  </w:style>
  <w:style w:type="character" w:styleId="CommentReference">
    <w:name w:val="annotation reference"/>
    <w:basedOn w:val="DefaultParagraphFont"/>
    <w:uiPriority w:val="99"/>
    <w:semiHidden/>
    <w:unhideWhenUsed/>
    <w:rsid w:val="002C08C2"/>
    <w:rPr>
      <w:sz w:val="16"/>
      <w:szCs w:val="16"/>
    </w:rPr>
  </w:style>
  <w:style w:type="paragraph" w:styleId="CommentText">
    <w:name w:val="annotation text"/>
    <w:basedOn w:val="Normal"/>
    <w:link w:val="CommentTextChar"/>
    <w:uiPriority w:val="99"/>
    <w:semiHidden/>
    <w:unhideWhenUsed/>
    <w:rsid w:val="002C08C2"/>
    <w:pPr>
      <w:spacing w:line="240" w:lineRule="auto"/>
    </w:pPr>
    <w:rPr>
      <w:sz w:val="20"/>
      <w:szCs w:val="20"/>
    </w:rPr>
  </w:style>
  <w:style w:type="character" w:customStyle="1" w:styleId="CommentTextChar">
    <w:name w:val="Comment Text Char"/>
    <w:basedOn w:val="DefaultParagraphFont"/>
    <w:link w:val="CommentText"/>
    <w:uiPriority w:val="99"/>
    <w:semiHidden/>
    <w:rsid w:val="002C08C2"/>
    <w:rPr>
      <w:sz w:val="20"/>
      <w:szCs w:val="20"/>
    </w:rPr>
  </w:style>
  <w:style w:type="paragraph" w:styleId="CommentSubject">
    <w:name w:val="annotation subject"/>
    <w:basedOn w:val="CommentText"/>
    <w:next w:val="CommentText"/>
    <w:link w:val="CommentSubjectChar"/>
    <w:uiPriority w:val="99"/>
    <w:semiHidden/>
    <w:unhideWhenUsed/>
    <w:rsid w:val="002C08C2"/>
    <w:rPr>
      <w:b/>
      <w:bCs/>
    </w:rPr>
  </w:style>
  <w:style w:type="character" w:customStyle="1" w:styleId="CommentSubjectChar">
    <w:name w:val="Comment Subject Char"/>
    <w:basedOn w:val="CommentTextChar"/>
    <w:link w:val="CommentSubject"/>
    <w:uiPriority w:val="99"/>
    <w:semiHidden/>
    <w:rsid w:val="002C08C2"/>
    <w:rPr>
      <w:b/>
      <w:bCs/>
      <w:sz w:val="20"/>
      <w:szCs w:val="20"/>
    </w:rPr>
  </w:style>
  <w:style w:type="paragraph" w:styleId="BalloonText">
    <w:name w:val="Balloon Text"/>
    <w:basedOn w:val="Normal"/>
    <w:link w:val="BalloonTextChar"/>
    <w:uiPriority w:val="99"/>
    <w:semiHidden/>
    <w:unhideWhenUsed/>
    <w:rsid w:val="002C0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8C2"/>
    <w:rPr>
      <w:rFonts w:ascii="Segoe UI" w:hAnsi="Segoe UI" w:cs="Segoe UI"/>
      <w:sz w:val="18"/>
      <w:szCs w:val="18"/>
    </w:rPr>
  </w:style>
  <w:style w:type="paragraph" w:styleId="Header">
    <w:name w:val="header"/>
    <w:basedOn w:val="Normal"/>
    <w:link w:val="HeaderChar"/>
    <w:uiPriority w:val="99"/>
    <w:unhideWhenUsed/>
    <w:rsid w:val="002C0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8C2"/>
  </w:style>
  <w:style w:type="paragraph" w:styleId="Footer">
    <w:name w:val="footer"/>
    <w:basedOn w:val="Normal"/>
    <w:link w:val="FooterChar"/>
    <w:uiPriority w:val="99"/>
    <w:unhideWhenUsed/>
    <w:rsid w:val="002C0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8C2"/>
  </w:style>
  <w:style w:type="paragraph" w:styleId="EndnoteText">
    <w:name w:val="endnote text"/>
    <w:basedOn w:val="Normal"/>
    <w:link w:val="EndnoteTextChar"/>
    <w:uiPriority w:val="99"/>
    <w:unhideWhenUsed/>
    <w:rsid w:val="002C08C2"/>
    <w:pPr>
      <w:spacing w:after="0" w:line="240" w:lineRule="auto"/>
    </w:pPr>
    <w:rPr>
      <w:sz w:val="20"/>
      <w:szCs w:val="20"/>
    </w:rPr>
  </w:style>
  <w:style w:type="character" w:customStyle="1" w:styleId="EndnoteTextChar">
    <w:name w:val="Endnote Text Char"/>
    <w:basedOn w:val="DefaultParagraphFont"/>
    <w:link w:val="EndnoteText"/>
    <w:uiPriority w:val="99"/>
    <w:rsid w:val="002C08C2"/>
    <w:rPr>
      <w:sz w:val="20"/>
      <w:szCs w:val="20"/>
    </w:rPr>
  </w:style>
  <w:style w:type="character" w:styleId="EndnoteReference">
    <w:name w:val="endnote reference"/>
    <w:basedOn w:val="DefaultParagraphFont"/>
    <w:uiPriority w:val="99"/>
    <w:semiHidden/>
    <w:unhideWhenUsed/>
    <w:rsid w:val="002C08C2"/>
    <w:rPr>
      <w:vertAlign w:val="superscript"/>
    </w:rPr>
  </w:style>
  <w:style w:type="paragraph" w:styleId="FootnoteText">
    <w:name w:val="footnote text"/>
    <w:basedOn w:val="Normal"/>
    <w:link w:val="FootnoteTextChar"/>
    <w:uiPriority w:val="99"/>
    <w:semiHidden/>
    <w:unhideWhenUsed/>
    <w:rsid w:val="00C10F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0F0B"/>
    <w:rPr>
      <w:sz w:val="20"/>
      <w:szCs w:val="20"/>
    </w:rPr>
  </w:style>
  <w:style w:type="character" w:styleId="FootnoteReference">
    <w:name w:val="footnote reference"/>
    <w:basedOn w:val="DefaultParagraphFont"/>
    <w:uiPriority w:val="99"/>
    <w:semiHidden/>
    <w:unhideWhenUsed/>
    <w:rsid w:val="00C10F0B"/>
    <w:rPr>
      <w:vertAlign w:val="superscript"/>
    </w:rPr>
  </w:style>
  <w:style w:type="paragraph" w:styleId="Title">
    <w:name w:val="Title"/>
    <w:basedOn w:val="Normal"/>
    <w:link w:val="TitleChar"/>
    <w:qFormat/>
    <w:rsid w:val="004D4EB0"/>
    <w:pPr>
      <w:spacing w:after="0" w:line="24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rsid w:val="004D4EB0"/>
    <w:rPr>
      <w:rFonts w:ascii="Times New Roman" w:eastAsia="Times New Roman" w:hAnsi="Times New Roman" w:cs="Times New Roman"/>
      <w:b/>
      <w:sz w:val="28"/>
      <w:szCs w:val="20"/>
      <w:lang w:eastAsia="en-GB"/>
    </w:rPr>
  </w:style>
  <w:style w:type="table" w:styleId="TableGrid">
    <w:name w:val="Table Grid"/>
    <w:basedOn w:val="TableNormal"/>
    <w:uiPriority w:val="39"/>
    <w:rsid w:val="0010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57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24759405074365"/>
          <c:y val="6.4814814814814811E-2"/>
          <c:w val="0.87753018372703417"/>
          <c:h val="0.64972404491105273"/>
        </c:manualLayout>
      </c:layout>
      <c:lineChart>
        <c:grouping val="standard"/>
        <c:varyColors val="0"/>
        <c:ser>
          <c:idx val="0"/>
          <c:order val="0"/>
          <c:tx>
            <c:strRef>
              <c:f>Sheet1!$C$2</c:f>
              <c:strCache>
                <c:ptCount val="1"/>
                <c:pt idx="0">
                  <c:v>Approvals</c:v>
                </c:pt>
              </c:strCache>
            </c:strRef>
          </c:tx>
          <c:spPr>
            <a:ln w="28575" cap="rnd">
              <a:solidFill>
                <a:schemeClr val="accent1"/>
              </a:solidFill>
              <a:round/>
            </a:ln>
            <a:effectLst/>
          </c:spPr>
          <c:marker>
            <c:symbol val="none"/>
          </c:marker>
          <c:cat>
            <c:strRef>
              <c:f>Sheet1!$B$3:$B$14</c:f>
              <c:strCache>
                <c:ptCount val="12"/>
                <c:pt idx="1">
                  <c:v>2004/05</c:v>
                </c:pt>
                <c:pt idx="2">
                  <c:v>2005/06</c:v>
                </c:pt>
                <c:pt idx="3">
                  <c:v>2006/07</c:v>
                </c:pt>
                <c:pt idx="4">
                  <c:v>2007/08</c:v>
                </c:pt>
                <c:pt idx="5">
                  <c:v>2008/09</c:v>
                </c:pt>
                <c:pt idx="6">
                  <c:v>2009/10</c:v>
                </c:pt>
                <c:pt idx="7">
                  <c:v>2010/11</c:v>
                </c:pt>
                <c:pt idx="8">
                  <c:v>2011/12</c:v>
                </c:pt>
                <c:pt idx="9">
                  <c:v>2012/13</c:v>
                </c:pt>
                <c:pt idx="10">
                  <c:v>2013/14</c:v>
                </c:pt>
                <c:pt idx="11">
                  <c:v>2014/15</c:v>
                </c:pt>
              </c:strCache>
            </c:strRef>
          </c:cat>
          <c:val>
            <c:numRef>
              <c:f>Sheet1!$C$3:$C$14</c:f>
              <c:numCache>
                <c:formatCode>General</c:formatCode>
                <c:ptCount val="12"/>
                <c:pt idx="1">
                  <c:v>1585</c:v>
                </c:pt>
                <c:pt idx="2">
                  <c:v>1767</c:v>
                </c:pt>
                <c:pt idx="3">
                  <c:v>1882</c:v>
                </c:pt>
                <c:pt idx="4">
                  <c:v>1420</c:v>
                </c:pt>
                <c:pt idx="5">
                  <c:v>874</c:v>
                </c:pt>
                <c:pt idx="6">
                  <c:v>711</c:v>
                </c:pt>
                <c:pt idx="7">
                  <c:v>332</c:v>
                </c:pt>
                <c:pt idx="8">
                  <c:v>369</c:v>
                </c:pt>
                <c:pt idx="9">
                  <c:v>223</c:v>
                </c:pt>
                <c:pt idx="10">
                  <c:v>143</c:v>
                </c:pt>
                <c:pt idx="11">
                  <c:v>142</c:v>
                </c:pt>
              </c:numCache>
            </c:numRef>
          </c:val>
          <c:smooth val="0"/>
        </c:ser>
        <c:ser>
          <c:idx val="1"/>
          <c:order val="1"/>
          <c:tx>
            <c:strRef>
              <c:f>Sheet1!$D$2</c:f>
              <c:strCache>
                <c:ptCount val="1"/>
                <c:pt idx="0">
                  <c:v>Refusals</c:v>
                </c:pt>
              </c:strCache>
            </c:strRef>
          </c:tx>
          <c:spPr>
            <a:ln w="28575" cap="rnd">
              <a:solidFill>
                <a:schemeClr val="accent2"/>
              </a:solidFill>
              <a:round/>
            </a:ln>
            <a:effectLst/>
          </c:spPr>
          <c:marker>
            <c:symbol val="none"/>
          </c:marker>
          <c:cat>
            <c:strRef>
              <c:f>Sheet1!$B$3:$B$14</c:f>
              <c:strCache>
                <c:ptCount val="12"/>
                <c:pt idx="1">
                  <c:v>2004/05</c:v>
                </c:pt>
                <c:pt idx="2">
                  <c:v>2005/06</c:v>
                </c:pt>
                <c:pt idx="3">
                  <c:v>2006/07</c:v>
                </c:pt>
                <c:pt idx="4">
                  <c:v>2007/08</c:v>
                </c:pt>
                <c:pt idx="5">
                  <c:v>2008/09</c:v>
                </c:pt>
                <c:pt idx="6">
                  <c:v>2009/10</c:v>
                </c:pt>
                <c:pt idx="7">
                  <c:v>2010/11</c:v>
                </c:pt>
                <c:pt idx="8">
                  <c:v>2011/12</c:v>
                </c:pt>
                <c:pt idx="9">
                  <c:v>2012/13</c:v>
                </c:pt>
                <c:pt idx="10">
                  <c:v>2013/14</c:v>
                </c:pt>
                <c:pt idx="11">
                  <c:v>2014/15</c:v>
                </c:pt>
              </c:strCache>
            </c:strRef>
          </c:cat>
          <c:val>
            <c:numRef>
              <c:f>Sheet1!$D$3:$D$14</c:f>
              <c:numCache>
                <c:formatCode>General</c:formatCode>
                <c:ptCount val="12"/>
                <c:pt idx="1">
                  <c:v>200</c:v>
                </c:pt>
                <c:pt idx="2">
                  <c:v>343</c:v>
                </c:pt>
                <c:pt idx="3">
                  <c:v>994</c:v>
                </c:pt>
                <c:pt idx="4">
                  <c:v>142</c:v>
                </c:pt>
                <c:pt idx="5">
                  <c:v>11</c:v>
                </c:pt>
                <c:pt idx="6">
                  <c:v>15</c:v>
                </c:pt>
                <c:pt idx="7">
                  <c:v>206</c:v>
                </c:pt>
                <c:pt idx="8">
                  <c:v>78</c:v>
                </c:pt>
                <c:pt idx="9">
                  <c:v>15</c:v>
                </c:pt>
                <c:pt idx="10">
                  <c:v>12</c:v>
                </c:pt>
                <c:pt idx="11">
                  <c:v>17</c:v>
                </c:pt>
              </c:numCache>
            </c:numRef>
          </c:val>
          <c:smooth val="0"/>
        </c:ser>
        <c:dLbls>
          <c:showLegendKey val="0"/>
          <c:showVal val="0"/>
          <c:showCatName val="0"/>
          <c:showSerName val="0"/>
          <c:showPercent val="0"/>
          <c:showBubbleSize val="0"/>
        </c:dLbls>
        <c:smooth val="0"/>
        <c:axId val="407959496"/>
        <c:axId val="407959104"/>
      </c:lineChart>
      <c:catAx>
        <c:axId val="407959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959104"/>
        <c:crosses val="autoZero"/>
        <c:auto val="1"/>
        <c:lblAlgn val="ctr"/>
        <c:lblOffset val="100"/>
        <c:noMultiLvlLbl val="0"/>
      </c:catAx>
      <c:valAx>
        <c:axId val="407959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959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Sheet1!$F$5</c:f>
              <c:strCache>
                <c:ptCount val="1"/>
                <c:pt idx="0">
                  <c:v>Total</c:v>
                </c:pt>
              </c:strCache>
            </c:strRef>
          </c:tx>
          <c:spPr>
            <a:solidFill>
              <a:schemeClr val="accent1"/>
            </a:solidFill>
            <a:ln>
              <a:noFill/>
            </a:ln>
            <a:effectLst/>
          </c:spPr>
          <c:invertIfNegative val="0"/>
          <c:dPt>
            <c:idx val="10"/>
            <c:invertIfNegative val="0"/>
            <c:bubble3D val="0"/>
            <c:spPr>
              <a:solidFill>
                <a:schemeClr val="accent1"/>
              </a:solidFill>
              <a:ln>
                <a:noFill/>
              </a:ln>
              <a:effectLst/>
            </c:spPr>
          </c:dPt>
          <c:cat>
            <c:strRef>
              <c:f>Sheet1!$E$6:$E$18</c:f>
              <c:strCache>
                <c:ptCount val="13"/>
                <c:pt idx="2">
                  <c:v>2004/05</c:v>
                </c:pt>
                <c:pt idx="3">
                  <c:v>2005/06</c:v>
                </c:pt>
                <c:pt idx="4">
                  <c:v>2006/07</c:v>
                </c:pt>
                <c:pt idx="5">
                  <c:v>2007/08</c:v>
                </c:pt>
                <c:pt idx="6">
                  <c:v>2008/09</c:v>
                </c:pt>
                <c:pt idx="7">
                  <c:v>2009/10</c:v>
                </c:pt>
                <c:pt idx="8">
                  <c:v>2010/11</c:v>
                </c:pt>
                <c:pt idx="9">
                  <c:v>2011/12</c:v>
                </c:pt>
                <c:pt idx="10">
                  <c:v>2012/13</c:v>
                </c:pt>
                <c:pt idx="11">
                  <c:v>2013/14</c:v>
                </c:pt>
                <c:pt idx="12">
                  <c:v>2014/15</c:v>
                </c:pt>
              </c:strCache>
            </c:strRef>
          </c:cat>
          <c:val>
            <c:numRef>
              <c:f>Sheet1!$F$6:$F$18</c:f>
              <c:numCache>
                <c:formatCode>General</c:formatCode>
                <c:ptCount val="13"/>
                <c:pt idx="2">
                  <c:v>6</c:v>
                </c:pt>
                <c:pt idx="3">
                  <c:v>15</c:v>
                </c:pt>
                <c:pt idx="4">
                  <c:v>14</c:v>
                </c:pt>
                <c:pt idx="5">
                  <c:v>21</c:v>
                </c:pt>
                <c:pt idx="6">
                  <c:v>21</c:v>
                </c:pt>
                <c:pt idx="7">
                  <c:v>21</c:v>
                </c:pt>
                <c:pt idx="8">
                  <c:v>34</c:v>
                </c:pt>
                <c:pt idx="9">
                  <c:v>68</c:v>
                </c:pt>
                <c:pt idx="10">
                  <c:v>163</c:v>
                </c:pt>
                <c:pt idx="11">
                  <c:v>116</c:v>
                </c:pt>
                <c:pt idx="12">
                  <c:v>126</c:v>
                </c:pt>
              </c:numCache>
            </c:numRef>
          </c:val>
        </c:ser>
        <c:dLbls>
          <c:showLegendKey val="0"/>
          <c:showVal val="0"/>
          <c:showCatName val="0"/>
          <c:showSerName val="0"/>
          <c:showPercent val="0"/>
          <c:showBubbleSize val="0"/>
        </c:dLbls>
        <c:gapWidth val="219"/>
        <c:overlap val="-27"/>
        <c:axId val="260398248"/>
        <c:axId val="260397856"/>
      </c:barChart>
      <c:catAx>
        <c:axId val="260398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0397856"/>
        <c:crosses val="autoZero"/>
        <c:auto val="1"/>
        <c:lblAlgn val="ctr"/>
        <c:lblOffset val="100"/>
        <c:noMultiLvlLbl val="0"/>
      </c:catAx>
      <c:valAx>
        <c:axId val="260397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0398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C2823-DCB8-408A-838A-735BDA7C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5512</TotalTime>
  <Pages>13</Pages>
  <Words>4141</Words>
  <Characters>23609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Corry</dc:creator>
  <cp:keywords/>
  <dc:description/>
  <cp:lastModifiedBy>Hilda Clements</cp:lastModifiedBy>
  <cp:revision>305</cp:revision>
  <cp:lastPrinted>2015-11-26T15:25:00Z</cp:lastPrinted>
  <dcterms:created xsi:type="dcterms:W3CDTF">2015-10-13T09:58:00Z</dcterms:created>
  <dcterms:modified xsi:type="dcterms:W3CDTF">2015-11-27T11:12:00Z</dcterms:modified>
</cp:coreProperties>
</file>