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625" w:rsidRPr="00D87625" w:rsidRDefault="00D87625" w:rsidP="00D87625">
      <w:pPr>
        <w:spacing w:after="0" w:line="240" w:lineRule="auto"/>
        <w:contextualSpacing/>
        <w:jc w:val="center"/>
        <w:rPr>
          <w:rFonts w:ascii="Arial" w:eastAsiaTheme="majorEastAsia" w:hAnsi="Arial" w:cs="Arial"/>
          <w:color w:val="262626" w:themeColor="text1" w:themeTint="D9"/>
          <w:sz w:val="24"/>
          <w:szCs w:val="24"/>
        </w:rPr>
      </w:pPr>
      <w:bookmarkStart w:id="0" w:name="_GoBack"/>
      <w:bookmarkEnd w:id="0"/>
      <w:r w:rsidRPr="00D87625">
        <w:rPr>
          <w:rFonts w:asciiTheme="majorHAnsi" w:eastAsiaTheme="majorEastAsia" w:hAnsiTheme="majorHAnsi" w:cstheme="majorBidi"/>
          <w:noProof/>
          <w:color w:val="262626" w:themeColor="text1" w:themeTint="D9"/>
          <w:sz w:val="96"/>
          <w:szCs w:val="96"/>
          <w:lang w:eastAsia="en-GB"/>
        </w:rPr>
        <w:drawing>
          <wp:inline distT="0" distB="0" distL="0" distR="0" wp14:anchorId="6A982E26" wp14:editId="6B2F623C">
            <wp:extent cx="2995930" cy="873760"/>
            <wp:effectExtent l="0" t="0" r="0" b="2540"/>
            <wp:docPr id="1" name="Picture 1" descr="F&amp;ODC Master Dual Pantone 260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amp;ODC Master Dual Pantone 2603.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5930" cy="873760"/>
                    </a:xfrm>
                    <a:prstGeom prst="rect">
                      <a:avLst/>
                    </a:prstGeom>
                    <a:noFill/>
                    <a:ln>
                      <a:noFill/>
                    </a:ln>
                  </pic:spPr>
                </pic:pic>
              </a:graphicData>
            </a:graphic>
          </wp:inline>
        </w:drawing>
      </w:r>
    </w:p>
    <w:p w:rsidR="00BE2CCD" w:rsidRDefault="00BE2CCD" w:rsidP="00D87625">
      <w:pPr>
        <w:spacing w:line="276" w:lineRule="auto"/>
        <w:jc w:val="center"/>
        <w:rPr>
          <w:rFonts w:ascii="Arial" w:eastAsiaTheme="minorEastAsia" w:hAnsi="Arial" w:cs="Arial"/>
          <w:sz w:val="28"/>
          <w:szCs w:val="28"/>
        </w:rPr>
      </w:pPr>
    </w:p>
    <w:p w:rsidR="00BE2CCD" w:rsidRDefault="00BE2CCD" w:rsidP="00D87625">
      <w:pPr>
        <w:spacing w:line="276" w:lineRule="auto"/>
        <w:jc w:val="center"/>
        <w:rPr>
          <w:rFonts w:ascii="Arial" w:eastAsiaTheme="minorEastAsia" w:hAnsi="Arial" w:cs="Arial"/>
          <w:sz w:val="28"/>
          <w:szCs w:val="28"/>
        </w:rPr>
      </w:pPr>
    </w:p>
    <w:p w:rsidR="00BE2CCD" w:rsidRDefault="00BE2CCD" w:rsidP="00D87625">
      <w:pPr>
        <w:spacing w:line="276" w:lineRule="auto"/>
        <w:jc w:val="center"/>
        <w:rPr>
          <w:rFonts w:ascii="Arial" w:eastAsiaTheme="minorEastAsia" w:hAnsi="Arial" w:cs="Arial"/>
          <w:sz w:val="28"/>
          <w:szCs w:val="28"/>
        </w:rPr>
      </w:pPr>
    </w:p>
    <w:p w:rsidR="00BE2CCD" w:rsidRDefault="00BE2CCD" w:rsidP="00D87625">
      <w:pPr>
        <w:spacing w:line="276" w:lineRule="auto"/>
        <w:jc w:val="center"/>
        <w:rPr>
          <w:rFonts w:ascii="Arial" w:eastAsiaTheme="minorEastAsia" w:hAnsi="Arial" w:cs="Arial"/>
          <w:sz w:val="28"/>
          <w:szCs w:val="28"/>
        </w:rPr>
      </w:pPr>
    </w:p>
    <w:p w:rsidR="00BE2CCD" w:rsidRPr="00BE2CCD" w:rsidRDefault="00BE2CCD" w:rsidP="00BE2CCD">
      <w:pPr>
        <w:keepNext/>
        <w:keepLines/>
        <w:pBdr>
          <w:bottom w:val="single" w:sz="4" w:space="2" w:color="9B57D3"/>
        </w:pBdr>
        <w:spacing w:before="360" w:after="120" w:line="240" w:lineRule="auto"/>
        <w:outlineLvl w:val="0"/>
        <w:rPr>
          <w:rFonts w:ascii="Arial" w:eastAsia="Times New Roman" w:hAnsi="Arial" w:cs="Arial"/>
          <w:color w:val="262626"/>
          <w:sz w:val="24"/>
          <w:szCs w:val="24"/>
        </w:rPr>
      </w:pPr>
    </w:p>
    <w:p w:rsidR="00BE2CCD" w:rsidRPr="00BE2CCD" w:rsidRDefault="00BE2CCD" w:rsidP="00BE2CCD">
      <w:pPr>
        <w:spacing w:line="240" w:lineRule="auto"/>
        <w:rPr>
          <w:rFonts w:ascii="Arial" w:eastAsia="Times New Roman" w:hAnsi="Arial" w:cs="Arial"/>
          <w:sz w:val="24"/>
          <w:szCs w:val="24"/>
        </w:rPr>
      </w:pPr>
    </w:p>
    <w:p w:rsidR="00BE2CCD" w:rsidRPr="00DB4D1F" w:rsidRDefault="00BE2CCD" w:rsidP="00BE2CCD">
      <w:pPr>
        <w:keepNext/>
        <w:keepLines/>
        <w:pBdr>
          <w:bottom w:val="single" w:sz="4" w:space="2" w:color="9B57D3"/>
        </w:pBdr>
        <w:spacing w:before="360" w:after="120" w:line="240" w:lineRule="auto"/>
        <w:jc w:val="center"/>
        <w:outlineLvl w:val="0"/>
        <w:rPr>
          <w:rFonts w:ascii="Arial" w:eastAsia="Times New Roman" w:hAnsi="Arial" w:cs="Arial"/>
          <w:b/>
          <w:color w:val="262626"/>
          <w:sz w:val="28"/>
          <w:szCs w:val="28"/>
        </w:rPr>
      </w:pPr>
      <w:r w:rsidRPr="00DB4D1F">
        <w:rPr>
          <w:rFonts w:ascii="Arial" w:eastAsia="Times New Roman" w:hAnsi="Arial" w:cs="Arial"/>
          <w:b/>
          <w:color w:val="262626"/>
          <w:sz w:val="28"/>
          <w:szCs w:val="28"/>
        </w:rPr>
        <w:t>FERMANAGH AND OMAGH DISTRICT COUNCIL</w:t>
      </w:r>
    </w:p>
    <w:p w:rsidR="00BE2CCD" w:rsidRPr="00BE2CCD" w:rsidRDefault="00BE2CCD" w:rsidP="00BE2CCD">
      <w:pPr>
        <w:keepNext/>
        <w:keepLines/>
        <w:pBdr>
          <w:bottom w:val="single" w:sz="4" w:space="2" w:color="9B57D3"/>
        </w:pBdr>
        <w:spacing w:before="360" w:after="120" w:line="240" w:lineRule="auto"/>
        <w:outlineLvl w:val="0"/>
        <w:rPr>
          <w:rFonts w:ascii="Arial" w:eastAsia="Times New Roman" w:hAnsi="Arial" w:cs="Arial"/>
          <w:b/>
          <w:color w:val="262626"/>
          <w:sz w:val="24"/>
          <w:szCs w:val="24"/>
        </w:rPr>
      </w:pPr>
    </w:p>
    <w:p w:rsidR="00BE2CCD" w:rsidRPr="00BE2CCD" w:rsidRDefault="00BE2CCD" w:rsidP="00BE2CCD">
      <w:pPr>
        <w:spacing w:after="0" w:line="240" w:lineRule="auto"/>
        <w:rPr>
          <w:rFonts w:ascii="Arial" w:eastAsia="Times New Roman" w:hAnsi="Arial" w:cs="Arial"/>
          <w:sz w:val="32"/>
          <w:szCs w:val="32"/>
          <w:lang w:eastAsia="en-GB"/>
        </w:rPr>
      </w:pPr>
    </w:p>
    <w:p w:rsidR="00BE2CCD" w:rsidRDefault="00BE2CCD" w:rsidP="00BE2CCD">
      <w:pPr>
        <w:spacing w:line="276" w:lineRule="auto"/>
        <w:rPr>
          <w:rFonts w:ascii="Arial" w:eastAsiaTheme="minorEastAsia" w:hAnsi="Arial" w:cs="Arial"/>
          <w:sz w:val="28"/>
          <w:szCs w:val="28"/>
        </w:rPr>
      </w:pPr>
    </w:p>
    <w:p w:rsidR="00D87625" w:rsidRPr="00D87625" w:rsidRDefault="00311320" w:rsidP="00D87625">
      <w:pPr>
        <w:spacing w:line="276" w:lineRule="auto"/>
        <w:jc w:val="center"/>
        <w:rPr>
          <w:rFonts w:ascii="Arial" w:eastAsiaTheme="minorEastAsia" w:hAnsi="Arial" w:cs="Arial"/>
          <w:sz w:val="28"/>
          <w:szCs w:val="28"/>
        </w:rPr>
      </w:pPr>
      <w:r>
        <w:rPr>
          <w:rFonts w:ascii="Arial" w:eastAsiaTheme="minorEastAsia" w:hAnsi="Arial" w:cs="Arial"/>
          <w:sz w:val="28"/>
          <w:szCs w:val="28"/>
        </w:rPr>
        <w:t>Position Paper 13</w:t>
      </w:r>
    </w:p>
    <w:p w:rsidR="00D87625" w:rsidRPr="00D87625" w:rsidRDefault="00D87625" w:rsidP="00D87625">
      <w:pPr>
        <w:spacing w:line="276" w:lineRule="auto"/>
        <w:jc w:val="center"/>
        <w:rPr>
          <w:rFonts w:ascii="Arial" w:eastAsiaTheme="minorEastAsia" w:hAnsi="Arial" w:cs="Arial"/>
          <w:b/>
          <w:sz w:val="28"/>
          <w:szCs w:val="28"/>
        </w:rPr>
      </w:pPr>
    </w:p>
    <w:p w:rsidR="00D87625" w:rsidRPr="00D87625" w:rsidRDefault="00D87625" w:rsidP="00D87625">
      <w:pPr>
        <w:spacing w:line="276" w:lineRule="auto"/>
        <w:jc w:val="center"/>
        <w:rPr>
          <w:rFonts w:ascii="Arial" w:eastAsiaTheme="minorEastAsia" w:hAnsi="Arial" w:cs="Arial"/>
          <w:b/>
          <w:sz w:val="28"/>
          <w:szCs w:val="28"/>
        </w:rPr>
      </w:pPr>
    </w:p>
    <w:p w:rsidR="00D87625" w:rsidRPr="00D87625" w:rsidRDefault="00C3149C" w:rsidP="00D87625">
      <w:pPr>
        <w:spacing w:line="276" w:lineRule="auto"/>
        <w:jc w:val="center"/>
        <w:rPr>
          <w:rFonts w:ascii="Arial" w:eastAsiaTheme="minorEastAsia" w:hAnsi="Arial" w:cs="Arial"/>
          <w:b/>
          <w:sz w:val="28"/>
          <w:szCs w:val="28"/>
        </w:rPr>
      </w:pPr>
      <w:r>
        <w:rPr>
          <w:rFonts w:ascii="Arial" w:eastAsiaTheme="minorEastAsia" w:hAnsi="Arial" w:cs="Arial"/>
          <w:b/>
          <w:sz w:val="28"/>
          <w:szCs w:val="28"/>
        </w:rPr>
        <w:t>Housing Allocation</w:t>
      </w:r>
    </w:p>
    <w:p w:rsidR="00D87625" w:rsidRPr="00D87625" w:rsidRDefault="00D87625" w:rsidP="00D87625">
      <w:pPr>
        <w:spacing w:line="276" w:lineRule="auto"/>
        <w:jc w:val="center"/>
        <w:rPr>
          <w:rFonts w:ascii="Arial" w:eastAsiaTheme="minorEastAsia" w:hAnsi="Arial" w:cs="Arial"/>
          <w:b/>
          <w:sz w:val="28"/>
          <w:szCs w:val="28"/>
        </w:rPr>
      </w:pPr>
    </w:p>
    <w:p w:rsidR="00D87625" w:rsidRPr="00D87625" w:rsidRDefault="00D87625" w:rsidP="00D87625">
      <w:pPr>
        <w:spacing w:line="276" w:lineRule="auto"/>
        <w:jc w:val="center"/>
        <w:rPr>
          <w:rFonts w:ascii="Arial" w:eastAsiaTheme="minorEastAsia" w:hAnsi="Arial" w:cs="Arial"/>
          <w:sz w:val="28"/>
          <w:szCs w:val="28"/>
        </w:rPr>
      </w:pPr>
    </w:p>
    <w:p w:rsidR="00D87625" w:rsidRPr="00D87625" w:rsidRDefault="00257F68" w:rsidP="00D87625">
      <w:pPr>
        <w:spacing w:line="276" w:lineRule="auto"/>
        <w:jc w:val="center"/>
        <w:rPr>
          <w:rFonts w:ascii="Arial" w:eastAsiaTheme="minorEastAsia" w:hAnsi="Arial" w:cs="Arial"/>
          <w:sz w:val="28"/>
          <w:szCs w:val="28"/>
        </w:rPr>
      </w:pPr>
      <w:r>
        <w:rPr>
          <w:rFonts w:ascii="Arial" w:eastAsiaTheme="minorEastAsia" w:hAnsi="Arial" w:cs="Arial"/>
          <w:sz w:val="28"/>
          <w:szCs w:val="28"/>
        </w:rPr>
        <w:t xml:space="preserve">November </w:t>
      </w:r>
      <w:r w:rsidR="00D87625" w:rsidRPr="00D87625">
        <w:rPr>
          <w:rFonts w:ascii="Arial" w:eastAsiaTheme="minorEastAsia" w:hAnsi="Arial" w:cs="Arial"/>
          <w:sz w:val="28"/>
          <w:szCs w:val="28"/>
        </w:rPr>
        <w:t>2015</w:t>
      </w:r>
    </w:p>
    <w:p w:rsidR="00D87625" w:rsidRPr="00D87625" w:rsidRDefault="00D87625" w:rsidP="00D87625">
      <w:pPr>
        <w:spacing w:line="276" w:lineRule="auto"/>
        <w:jc w:val="both"/>
        <w:rPr>
          <w:rFonts w:ascii="Arial" w:eastAsiaTheme="minorEastAsia" w:hAnsi="Arial" w:cs="Arial"/>
        </w:rPr>
      </w:pPr>
    </w:p>
    <w:p w:rsidR="00D87625" w:rsidRPr="00D87625" w:rsidRDefault="00D87625" w:rsidP="00D87625">
      <w:pPr>
        <w:spacing w:line="276" w:lineRule="auto"/>
        <w:jc w:val="both"/>
        <w:rPr>
          <w:rFonts w:ascii="Arial" w:eastAsiaTheme="minorEastAsia" w:hAnsi="Arial" w:cs="Arial"/>
        </w:rPr>
      </w:pPr>
    </w:p>
    <w:p w:rsidR="00D87625" w:rsidRPr="00D87625" w:rsidRDefault="00D87625" w:rsidP="00D87625">
      <w:pPr>
        <w:spacing w:line="276" w:lineRule="auto"/>
        <w:jc w:val="both"/>
        <w:rPr>
          <w:rFonts w:ascii="Arial" w:eastAsiaTheme="minorEastAsia" w:hAnsi="Arial" w:cs="Arial"/>
        </w:rPr>
      </w:pPr>
    </w:p>
    <w:p w:rsidR="00D87625" w:rsidRPr="00D87625" w:rsidRDefault="00D87625" w:rsidP="00D87625">
      <w:pPr>
        <w:spacing w:line="276" w:lineRule="auto"/>
        <w:jc w:val="both"/>
        <w:rPr>
          <w:rFonts w:ascii="Arial" w:eastAsiaTheme="minorEastAsia" w:hAnsi="Arial" w:cs="Arial"/>
        </w:rPr>
      </w:pPr>
    </w:p>
    <w:p w:rsidR="00D87625" w:rsidRPr="00D87625" w:rsidRDefault="00D87625" w:rsidP="00D87625">
      <w:pPr>
        <w:spacing w:line="276" w:lineRule="auto"/>
        <w:jc w:val="both"/>
        <w:rPr>
          <w:rFonts w:ascii="Arial" w:eastAsiaTheme="minorEastAsia" w:hAnsi="Arial" w:cs="Arial"/>
        </w:rPr>
      </w:pPr>
    </w:p>
    <w:p w:rsidR="00D87625" w:rsidRPr="00D87625" w:rsidRDefault="00D87625" w:rsidP="00D87625">
      <w:pPr>
        <w:spacing w:line="276" w:lineRule="auto"/>
        <w:jc w:val="both"/>
        <w:rPr>
          <w:rFonts w:ascii="Arial" w:eastAsiaTheme="minorEastAsia" w:hAnsi="Arial" w:cs="Arial"/>
        </w:rPr>
      </w:pPr>
    </w:p>
    <w:p w:rsidR="00D87625" w:rsidRPr="00D87625" w:rsidRDefault="00D87625" w:rsidP="00D87625">
      <w:pPr>
        <w:spacing w:line="276" w:lineRule="auto"/>
        <w:jc w:val="both"/>
        <w:rPr>
          <w:rFonts w:ascii="Arial" w:eastAsiaTheme="minorEastAsia" w:hAnsi="Arial" w:cs="Arial"/>
        </w:rPr>
      </w:pPr>
    </w:p>
    <w:p w:rsidR="00D87625" w:rsidRPr="00D87625" w:rsidRDefault="00D87625" w:rsidP="00D87625">
      <w:pPr>
        <w:spacing w:after="0" w:line="240" w:lineRule="auto"/>
        <w:jc w:val="both"/>
        <w:rPr>
          <w:rFonts w:ascii="Arial" w:eastAsiaTheme="minorEastAsia" w:hAnsi="Arial" w:cs="Arial"/>
        </w:rPr>
      </w:pPr>
    </w:p>
    <w:p w:rsidR="00D87625" w:rsidRDefault="00D87625" w:rsidP="00D87625">
      <w:pPr>
        <w:spacing w:after="0" w:line="240" w:lineRule="auto"/>
        <w:jc w:val="both"/>
        <w:rPr>
          <w:rFonts w:ascii="Arial" w:eastAsiaTheme="minorEastAsia" w:hAnsi="Arial" w:cs="Arial"/>
        </w:rPr>
      </w:pPr>
    </w:p>
    <w:p w:rsidR="00100FED" w:rsidRPr="00D87625" w:rsidRDefault="00C3149C" w:rsidP="00D87625">
      <w:pPr>
        <w:spacing w:after="0" w:line="240" w:lineRule="auto"/>
        <w:jc w:val="both"/>
        <w:rPr>
          <w:rFonts w:ascii="Arial" w:eastAsia="Times New Roman" w:hAnsi="Arial" w:cs="Arial"/>
          <w:b/>
          <w:sz w:val="24"/>
          <w:szCs w:val="24"/>
          <w:lang w:eastAsia="en-GB"/>
        </w:rPr>
      </w:pPr>
      <w:r>
        <w:rPr>
          <w:rFonts w:ascii="Arial" w:eastAsiaTheme="minorEastAsia" w:hAnsi="Arial" w:cs="Arial"/>
          <w:b/>
          <w:sz w:val="24"/>
          <w:szCs w:val="24"/>
        </w:rPr>
        <w:t>Housing Allocation</w:t>
      </w:r>
    </w:p>
    <w:p w:rsidR="00D87625" w:rsidRPr="00D87625" w:rsidRDefault="00D87625" w:rsidP="00D87625">
      <w:pPr>
        <w:spacing w:after="0" w:line="240" w:lineRule="auto"/>
        <w:ind w:left="2160" w:hanging="2160"/>
        <w:jc w:val="both"/>
        <w:rPr>
          <w:rFonts w:ascii="Arial" w:eastAsia="Times New Roman" w:hAnsi="Arial" w:cs="Arial"/>
          <w:b/>
          <w:sz w:val="24"/>
          <w:szCs w:val="24"/>
          <w:lang w:eastAsia="en-GB"/>
        </w:rPr>
      </w:pPr>
    </w:p>
    <w:p w:rsidR="00D87625" w:rsidRPr="00D87625" w:rsidRDefault="00D87625" w:rsidP="00D87625">
      <w:pPr>
        <w:spacing w:after="0" w:line="240" w:lineRule="auto"/>
        <w:ind w:left="2160" w:hanging="2160"/>
        <w:jc w:val="both"/>
        <w:rPr>
          <w:rFonts w:ascii="Arial" w:eastAsia="Times New Roman" w:hAnsi="Arial" w:cs="Arial"/>
          <w:b/>
          <w:sz w:val="24"/>
          <w:szCs w:val="24"/>
          <w:lang w:eastAsia="en-GB"/>
        </w:rPr>
      </w:pPr>
    </w:p>
    <w:p w:rsidR="00D87625" w:rsidRPr="00D87625" w:rsidRDefault="00D87625" w:rsidP="00D87625">
      <w:pPr>
        <w:spacing w:after="0" w:line="240" w:lineRule="auto"/>
        <w:ind w:left="2160" w:hanging="2160"/>
        <w:jc w:val="both"/>
        <w:rPr>
          <w:rFonts w:ascii="Arial" w:eastAsia="Times New Roman" w:hAnsi="Arial" w:cs="Arial"/>
          <w:b/>
          <w:sz w:val="24"/>
          <w:szCs w:val="24"/>
          <w:lang w:eastAsia="en-GB"/>
        </w:rPr>
      </w:pPr>
      <w:r w:rsidRPr="00D87625">
        <w:rPr>
          <w:rFonts w:ascii="Arial" w:eastAsia="Times New Roman" w:hAnsi="Arial" w:cs="Arial"/>
          <w:b/>
          <w:sz w:val="24"/>
          <w:szCs w:val="24"/>
          <w:lang w:eastAsia="en-GB"/>
        </w:rPr>
        <w:t xml:space="preserve">Purpose: </w:t>
      </w:r>
      <w:r w:rsidRPr="00D87625">
        <w:rPr>
          <w:rFonts w:ascii="Arial" w:eastAsia="Times New Roman" w:hAnsi="Arial" w:cs="Arial"/>
          <w:b/>
          <w:sz w:val="24"/>
          <w:szCs w:val="24"/>
          <w:lang w:eastAsia="en-GB"/>
        </w:rPr>
        <w:tab/>
        <w:t xml:space="preserve">To provide </w:t>
      </w:r>
      <w:r w:rsidR="00EC1364">
        <w:rPr>
          <w:rFonts w:ascii="Arial" w:eastAsia="Times New Roman" w:hAnsi="Arial" w:cs="Arial"/>
          <w:b/>
          <w:sz w:val="24"/>
          <w:szCs w:val="24"/>
          <w:lang w:eastAsia="en-GB"/>
        </w:rPr>
        <w:t xml:space="preserve">members with </w:t>
      </w:r>
      <w:r w:rsidR="00C3149C">
        <w:rPr>
          <w:rFonts w:ascii="Arial" w:eastAsia="Times New Roman" w:hAnsi="Arial" w:cs="Arial"/>
          <w:b/>
          <w:sz w:val="24"/>
          <w:szCs w:val="24"/>
          <w:lang w:eastAsia="en-GB"/>
        </w:rPr>
        <w:t>details of housing allocations for Fermanagh and Omagh settlements for the development plan period 2015-2030.</w:t>
      </w:r>
    </w:p>
    <w:p w:rsidR="00D87625" w:rsidRPr="00D87625" w:rsidRDefault="00D87625" w:rsidP="00D87625">
      <w:pPr>
        <w:spacing w:after="0" w:line="240" w:lineRule="auto"/>
        <w:ind w:left="1440" w:firstLine="720"/>
        <w:jc w:val="both"/>
        <w:rPr>
          <w:rFonts w:ascii="Arial" w:eastAsia="Times New Roman" w:hAnsi="Arial" w:cs="Arial"/>
          <w:b/>
          <w:sz w:val="24"/>
          <w:szCs w:val="24"/>
          <w:lang w:eastAsia="en-GB"/>
        </w:rPr>
      </w:pPr>
      <w:r w:rsidRPr="00D87625">
        <w:rPr>
          <w:rFonts w:ascii="Arial" w:eastAsia="Times New Roman" w:hAnsi="Arial" w:cs="Arial"/>
          <w:b/>
          <w:sz w:val="24"/>
          <w:szCs w:val="24"/>
          <w:lang w:eastAsia="en-GB"/>
        </w:rPr>
        <w:tab/>
      </w:r>
      <w:r w:rsidRPr="00D87625">
        <w:rPr>
          <w:rFonts w:ascii="Arial" w:eastAsia="Times New Roman" w:hAnsi="Arial" w:cs="Arial"/>
          <w:b/>
          <w:sz w:val="24"/>
          <w:szCs w:val="24"/>
          <w:lang w:eastAsia="en-GB"/>
        </w:rPr>
        <w:tab/>
      </w:r>
    </w:p>
    <w:p w:rsidR="00D87625" w:rsidRPr="00D87625" w:rsidRDefault="004E7254" w:rsidP="00D87625">
      <w:pPr>
        <w:spacing w:after="0" w:line="240" w:lineRule="auto"/>
        <w:ind w:left="2160" w:hanging="2160"/>
        <w:jc w:val="both"/>
        <w:rPr>
          <w:rFonts w:ascii="Arial" w:eastAsia="Times New Roman" w:hAnsi="Arial" w:cs="Arial"/>
          <w:b/>
          <w:sz w:val="24"/>
          <w:szCs w:val="24"/>
          <w:lang w:eastAsia="en-GB"/>
        </w:rPr>
      </w:pPr>
      <w:r>
        <w:rPr>
          <w:rFonts w:ascii="Arial" w:eastAsia="Times New Roman" w:hAnsi="Arial" w:cs="Arial"/>
          <w:b/>
          <w:sz w:val="24"/>
          <w:szCs w:val="24"/>
          <w:lang w:eastAsia="en-GB"/>
        </w:rPr>
        <w:t>Content:</w:t>
      </w:r>
      <w:r>
        <w:rPr>
          <w:rFonts w:ascii="Arial" w:eastAsia="Times New Roman" w:hAnsi="Arial" w:cs="Arial"/>
          <w:b/>
          <w:sz w:val="24"/>
          <w:szCs w:val="24"/>
          <w:lang w:eastAsia="en-GB"/>
        </w:rPr>
        <w:tab/>
        <w:t>This</w:t>
      </w:r>
      <w:r w:rsidR="00D87625" w:rsidRPr="00D87625">
        <w:rPr>
          <w:rFonts w:ascii="Arial" w:eastAsia="Times New Roman" w:hAnsi="Arial" w:cs="Arial"/>
          <w:b/>
          <w:sz w:val="24"/>
          <w:szCs w:val="24"/>
          <w:lang w:eastAsia="en-GB"/>
        </w:rPr>
        <w:t xml:space="preserve"> paper provides</w:t>
      </w:r>
      <w:r>
        <w:rPr>
          <w:rFonts w:ascii="Arial" w:eastAsia="Times New Roman" w:hAnsi="Arial" w:cs="Arial"/>
          <w:b/>
          <w:sz w:val="24"/>
          <w:szCs w:val="24"/>
          <w:lang w:eastAsia="en-GB"/>
        </w:rPr>
        <w:t xml:space="preserve"> information on</w:t>
      </w:r>
      <w:r w:rsidR="00D87625" w:rsidRPr="00D87625">
        <w:rPr>
          <w:rFonts w:ascii="Arial" w:eastAsia="Times New Roman" w:hAnsi="Arial" w:cs="Arial"/>
          <w:b/>
          <w:sz w:val="24"/>
          <w:szCs w:val="24"/>
          <w:lang w:eastAsia="en-GB"/>
        </w:rPr>
        <w:t>:</w:t>
      </w:r>
    </w:p>
    <w:p w:rsidR="00D87625" w:rsidRPr="00D87625" w:rsidRDefault="00D87625" w:rsidP="00D87625">
      <w:pPr>
        <w:spacing w:after="0" w:line="240" w:lineRule="auto"/>
        <w:jc w:val="both"/>
        <w:rPr>
          <w:rFonts w:ascii="Arial" w:eastAsia="Times New Roman" w:hAnsi="Arial" w:cs="Arial"/>
          <w:b/>
          <w:sz w:val="24"/>
          <w:szCs w:val="24"/>
          <w:lang w:eastAsia="en-GB"/>
        </w:rPr>
      </w:pPr>
    </w:p>
    <w:p w:rsidR="00D87625" w:rsidRDefault="004C1225" w:rsidP="00084B64">
      <w:pPr>
        <w:numPr>
          <w:ilvl w:val="0"/>
          <w:numId w:val="1"/>
        </w:numPr>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The regional policy context for</w:t>
      </w:r>
      <w:r w:rsidR="00210BAB">
        <w:rPr>
          <w:rFonts w:ascii="Arial" w:eastAsia="Times New Roman" w:hAnsi="Arial" w:cs="Arial"/>
          <w:b/>
          <w:sz w:val="24"/>
          <w:szCs w:val="24"/>
          <w:lang w:eastAsia="en-GB"/>
        </w:rPr>
        <w:t xml:space="preserve"> housing allocations in Fermanagh and Omagh</w:t>
      </w:r>
      <w:r w:rsidRPr="004C1225">
        <w:rPr>
          <w:rFonts w:ascii="Arial" w:eastAsia="Times New Roman" w:hAnsi="Arial" w:cs="Arial"/>
          <w:b/>
          <w:sz w:val="24"/>
          <w:szCs w:val="24"/>
          <w:lang w:eastAsia="en-GB"/>
        </w:rPr>
        <w:t xml:space="preserve">; </w:t>
      </w:r>
    </w:p>
    <w:p w:rsidR="004C1225" w:rsidRPr="00D87625" w:rsidRDefault="004C1225" w:rsidP="004C1225">
      <w:pPr>
        <w:spacing w:after="0" w:line="240" w:lineRule="auto"/>
        <w:ind w:left="2910"/>
        <w:jc w:val="both"/>
        <w:rPr>
          <w:rFonts w:ascii="Arial" w:eastAsia="Times New Roman" w:hAnsi="Arial" w:cs="Arial"/>
          <w:b/>
          <w:sz w:val="24"/>
          <w:szCs w:val="24"/>
          <w:lang w:eastAsia="en-GB"/>
        </w:rPr>
      </w:pPr>
    </w:p>
    <w:p w:rsidR="00D87625" w:rsidRDefault="00D87625" w:rsidP="00D87625">
      <w:pPr>
        <w:numPr>
          <w:ilvl w:val="0"/>
          <w:numId w:val="1"/>
        </w:numPr>
        <w:spacing w:after="0" w:line="240" w:lineRule="auto"/>
        <w:jc w:val="both"/>
        <w:rPr>
          <w:rFonts w:ascii="Arial" w:eastAsia="Times New Roman" w:hAnsi="Arial" w:cs="Arial"/>
          <w:b/>
          <w:sz w:val="24"/>
          <w:szCs w:val="24"/>
          <w:lang w:eastAsia="en-GB"/>
        </w:rPr>
      </w:pPr>
      <w:r w:rsidRPr="00D87625">
        <w:rPr>
          <w:rFonts w:ascii="Arial" w:eastAsia="Times New Roman" w:hAnsi="Arial" w:cs="Arial"/>
          <w:b/>
          <w:sz w:val="24"/>
          <w:szCs w:val="24"/>
          <w:lang w:eastAsia="en-GB"/>
        </w:rPr>
        <w:t xml:space="preserve">An overview of </w:t>
      </w:r>
      <w:r w:rsidR="00C92D8D">
        <w:rPr>
          <w:rFonts w:ascii="Arial" w:eastAsia="Times New Roman" w:hAnsi="Arial" w:cs="Arial"/>
          <w:b/>
          <w:sz w:val="24"/>
          <w:szCs w:val="24"/>
          <w:lang w:eastAsia="en-GB"/>
        </w:rPr>
        <w:t>housing zonings within the current</w:t>
      </w:r>
      <w:r w:rsidR="004C1225">
        <w:rPr>
          <w:rFonts w:ascii="Arial" w:eastAsia="Times New Roman" w:hAnsi="Arial" w:cs="Arial"/>
          <w:b/>
          <w:sz w:val="24"/>
          <w:szCs w:val="24"/>
          <w:lang w:eastAsia="en-GB"/>
        </w:rPr>
        <w:t xml:space="preserve"> </w:t>
      </w:r>
      <w:r w:rsidR="00C92D8D">
        <w:rPr>
          <w:rFonts w:ascii="Arial" w:eastAsia="Times New Roman" w:hAnsi="Arial" w:cs="Arial"/>
          <w:b/>
          <w:sz w:val="24"/>
          <w:szCs w:val="24"/>
          <w:lang w:eastAsia="en-GB"/>
        </w:rPr>
        <w:t xml:space="preserve">the </w:t>
      </w:r>
      <w:r w:rsidRPr="00D87625">
        <w:rPr>
          <w:rFonts w:ascii="Arial" w:eastAsia="Times New Roman" w:hAnsi="Arial" w:cs="Arial"/>
          <w:b/>
          <w:sz w:val="24"/>
          <w:szCs w:val="24"/>
          <w:lang w:eastAsia="en-GB"/>
        </w:rPr>
        <w:t xml:space="preserve">Area </w:t>
      </w:r>
      <w:r w:rsidR="004C1225">
        <w:rPr>
          <w:rFonts w:ascii="Arial" w:eastAsia="Times New Roman" w:hAnsi="Arial" w:cs="Arial"/>
          <w:b/>
          <w:sz w:val="24"/>
          <w:szCs w:val="24"/>
          <w:lang w:eastAsia="en-GB"/>
        </w:rPr>
        <w:t>Plans</w:t>
      </w:r>
      <w:r w:rsidR="00C92D8D">
        <w:rPr>
          <w:rFonts w:ascii="Arial" w:eastAsia="Times New Roman" w:hAnsi="Arial" w:cs="Arial"/>
          <w:b/>
          <w:sz w:val="24"/>
          <w:szCs w:val="24"/>
          <w:lang w:eastAsia="en-GB"/>
        </w:rPr>
        <w:t xml:space="preserve"> for Fermanagh and Omagh</w:t>
      </w:r>
      <w:r w:rsidR="004C1225">
        <w:rPr>
          <w:rFonts w:ascii="Arial" w:eastAsia="Times New Roman" w:hAnsi="Arial" w:cs="Arial"/>
          <w:b/>
          <w:sz w:val="24"/>
          <w:szCs w:val="24"/>
          <w:lang w:eastAsia="en-GB"/>
        </w:rPr>
        <w:t>;</w:t>
      </w:r>
    </w:p>
    <w:p w:rsidR="00C92D8D" w:rsidRDefault="00C92D8D" w:rsidP="00C92D8D">
      <w:pPr>
        <w:pStyle w:val="ListParagraph"/>
        <w:rPr>
          <w:rFonts w:ascii="Arial" w:eastAsia="Times New Roman" w:hAnsi="Arial" w:cs="Arial"/>
          <w:b/>
          <w:sz w:val="24"/>
          <w:szCs w:val="24"/>
          <w:lang w:eastAsia="en-GB"/>
        </w:rPr>
      </w:pPr>
    </w:p>
    <w:p w:rsidR="00C92D8D" w:rsidRPr="00D87625" w:rsidRDefault="00C92D8D" w:rsidP="00D87625">
      <w:pPr>
        <w:numPr>
          <w:ilvl w:val="0"/>
          <w:numId w:val="1"/>
        </w:numPr>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Consideration of the Housing Growth Indicators (HGIs) as contained in the Regional Development Strategy (RDS) and the options for housing allocations.</w:t>
      </w:r>
    </w:p>
    <w:p w:rsidR="00D87625" w:rsidRPr="00D87625" w:rsidRDefault="00D87625" w:rsidP="00D87625">
      <w:pPr>
        <w:spacing w:after="0" w:line="240" w:lineRule="auto"/>
        <w:jc w:val="both"/>
        <w:rPr>
          <w:rFonts w:ascii="Arial" w:eastAsia="Times New Roman" w:hAnsi="Arial" w:cs="Arial"/>
          <w:b/>
          <w:sz w:val="24"/>
          <w:szCs w:val="24"/>
          <w:lang w:eastAsia="en-GB"/>
        </w:rPr>
      </w:pPr>
    </w:p>
    <w:p w:rsidR="004E7254" w:rsidRDefault="004E7254" w:rsidP="004E7254">
      <w:pPr>
        <w:pStyle w:val="ListParagraph"/>
        <w:rPr>
          <w:rFonts w:ascii="Arial" w:eastAsia="Times New Roman" w:hAnsi="Arial" w:cs="Arial"/>
          <w:b/>
          <w:sz w:val="24"/>
          <w:szCs w:val="24"/>
          <w:lang w:eastAsia="en-GB"/>
        </w:rPr>
      </w:pPr>
    </w:p>
    <w:p w:rsidR="00D87625" w:rsidRPr="00D87625" w:rsidRDefault="00D87625" w:rsidP="00D87625">
      <w:pPr>
        <w:spacing w:after="0" w:line="240" w:lineRule="auto"/>
        <w:jc w:val="both"/>
        <w:rPr>
          <w:rFonts w:ascii="Arial" w:eastAsia="Times New Roman" w:hAnsi="Arial" w:cs="Arial"/>
          <w:b/>
          <w:sz w:val="24"/>
          <w:szCs w:val="24"/>
          <w:lang w:eastAsia="en-GB"/>
        </w:rPr>
      </w:pPr>
    </w:p>
    <w:p w:rsidR="00D87625" w:rsidRPr="00D87625" w:rsidRDefault="00D87625" w:rsidP="00D87625">
      <w:pPr>
        <w:spacing w:after="0" w:line="240" w:lineRule="auto"/>
        <w:ind w:left="2160" w:hanging="2160"/>
        <w:jc w:val="both"/>
        <w:rPr>
          <w:rFonts w:ascii="Arial" w:eastAsia="Times New Roman" w:hAnsi="Arial" w:cs="Arial"/>
          <w:b/>
          <w:sz w:val="24"/>
          <w:szCs w:val="24"/>
          <w:lang w:eastAsia="en-GB"/>
        </w:rPr>
      </w:pPr>
      <w:r w:rsidRPr="00D87625">
        <w:rPr>
          <w:rFonts w:ascii="Arial" w:eastAsia="Times New Roman" w:hAnsi="Arial" w:cs="Arial"/>
          <w:b/>
          <w:sz w:val="24"/>
          <w:szCs w:val="24"/>
          <w:lang w:eastAsia="en-GB"/>
        </w:rPr>
        <w:t>Recommendation:</w:t>
      </w:r>
      <w:r w:rsidRPr="00D87625">
        <w:rPr>
          <w:rFonts w:ascii="Arial" w:eastAsia="Times New Roman" w:hAnsi="Arial" w:cs="Arial"/>
          <w:b/>
          <w:sz w:val="24"/>
          <w:szCs w:val="24"/>
          <w:lang w:eastAsia="en-GB"/>
        </w:rPr>
        <w:tab/>
      </w:r>
      <w:r w:rsidRPr="004E7254">
        <w:rPr>
          <w:rFonts w:ascii="Arial" w:eastAsia="Times New Roman" w:hAnsi="Arial" w:cs="Arial"/>
          <w:b/>
          <w:sz w:val="24"/>
          <w:szCs w:val="24"/>
          <w:lang w:eastAsia="en-GB"/>
        </w:rPr>
        <w:t>That the Council notes</w:t>
      </w:r>
      <w:r w:rsidR="004E7254">
        <w:rPr>
          <w:rFonts w:ascii="Arial" w:eastAsia="Times New Roman" w:hAnsi="Arial" w:cs="Arial"/>
          <w:b/>
          <w:sz w:val="24"/>
          <w:szCs w:val="24"/>
          <w:lang w:eastAsia="en-GB"/>
        </w:rPr>
        <w:t xml:space="preserve"> </w:t>
      </w:r>
      <w:r w:rsidR="00C92D8D">
        <w:rPr>
          <w:rFonts w:ascii="Arial" w:eastAsia="Times New Roman" w:hAnsi="Arial" w:cs="Arial"/>
          <w:b/>
          <w:sz w:val="24"/>
          <w:szCs w:val="24"/>
          <w:lang w:eastAsia="en-GB"/>
        </w:rPr>
        <w:t>the provisional housing allocations as calculated using household projections and agree that this paper be updated upon receipt of revised HGIs later in 2015.</w:t>
      </w:r>
    </w:p>
    <w:p w:rsidR="00D87625" w:rsidRPr="00D87625" w:rsidRDefault="00D87625" w:rsidP="00D87625">
      <w:pPr>
        <w:spacing w:after="0" w:line="240" w:lineRule="auto"/>
        <w:ind w:left="2410" w:hanging="2410"/>
        <w:jc w:val="both"/>
        <w:rPr>
          <w:rFonts w:ascii="Arial" w:eastAsia="Times New Roman" w:hAnsi="Arial" w:cs="Arial"/>
          <w:b/>
          <w:sz w:val="24"/>
          <w:szCs w:val="24"/>
          <w:lang w:eastAsia="en-GB"/>
        </w:rPr>
      </w:pPr>
    </w:p>
    <w:p w:rsidR="00D87625" w:rsidRPr="00D87625" w:rsidRDefault="00D87625" w:rsidP="00D87625">
      <w:pPr>
        <w:spacing w:after="0" w:line="240" w:lineRule="auto"/>
        <w:jc w:val="both"/>
        <w:rPr>
          <w:rFonts w:ascii="Arial" w:eastAsia="Times New Roman" w:hAnsi="Arial" w:cs="Arial"/>
          <w:b/>
          <w:sz w:val="24"/>
          <w:szCs w:val="24"/>
          <w:lang w:eastAsia="en-GB"/>
        </w:rPr>
      </w:pPr>
    </w:p>
    <w:p w:rsidR="00D87625" w:rsidRPr="00D87625" w:rsidRDefault="00D87625" w:rsidP="00D87625">
      <w:pPr>
        <w:spacing w:after="0" w:line="240" w:lineRule="auto"/>
        <w:ind w:left="283" w:hanging="283"/>
        <w:jc w:val="both"/>
        <w:rPr>
          <w:rFonts w:ascii="Arial" w:eastAsia="Times New Roman" w:hAnsi="Arial" w:cs="Arial"/>
          <w:b/>
          <w:sz w:val="28"/>
          <w:szCs w:val="28"/>
          <w:lang w:eastAsia="en-GB"/>
        </w:rPr>
      </w:pPr>
      <w:r w:rsidRPr="00D87625">
        <w:rPr>
          <w:rFonts w:ascii="Arial" w:eastAsia="Times New Roman" w:hAnsi="Arial" w:cs="Arial"/>
          <w:b/>
          <w:sz w:val="28"/>
          <w:szCs w:val="28"/>
          <w:lang w:eastAsia="en-GB"/>
        </w:rPr>
        <w:t>1.0</w:t>
      </w:r>
      <w:r w:rsidRPr="00D87625">
        <w:rPr>
          <w:rFonts w:ascii="Arial" w:eastAsia="Times New Roman" w:hAnsi="Arial" w:cs="Arial"/>
          <w:b/>
          <w:sz w:val="28"/>
          <w:szCs w:val="28"/>
          <w:lang w:eastAsia="en-GB"/>
        </w:rPr>
        <w:tab/>
        <w:t>Introduction</w:t>
      </w:r>
    </w:p>
    <w:p w:rsidR="00D87625" w:rsidRPr="00D87625" w:rsidRDefault="00D87625" w:rsidP="00D87625">
      <w:pPr>
        <w:spacing w:after="0" w:line="240" w:lineRule="auto"/>
        <w:rPr>
          <w:rFonts w:ascii="Arial" w:eastAsiaTheme="minorEastAsia" w:hAnsi="Arial" w:cs="Arial"/>
          <w:sz w:val="24"/>
          <w:szCs w:val="24"/>
        </w:rPr>
      </w:pPr>
    </w:p>
    <w:p w:rsidR="00D87625" w:rsidRDefault="00D87625" w:rsidP="004E7254">
      <w:pPr>
        <w:numPr>
          <w:ilvl w:val="1"/>
          <w:numId w:val="2"/>
        </w:numPr>
        <w:spacing w:line="240" w:lineRule="auto"/>
        <w:contextualSpacing/>
        <w:jc w:val="both"/>
        <w:rPr>
          <w:rFonts w:ascii="Arial" w:eastAsiaTheme="minorEastAsia" w:hAnsi="Arial" w:cs="Arial"/>
          <w:sz w:val="24"/>
          <w:szCs w:val="24"/>
        </w:rPr>
      </w:pPr>
      <w:r w:rsidRPr="00D87625">
        <w:rPr>
          <w:rFonts w:ascii="Arial" w:eastAsiaTheme="minorEastAsia" w:hAnsi="Arial" w:cs="Arial"/>
          <w:sz w:val="24"/>
          <w:szCs w:val="24"/>
        </w:rPr>
        <w:t xml:space="preserve">This is one of a series of papers being presented to the Planning Committee as part of the preparatory studies aimed at gathering the evidence base for the new local development plan. </w:t>
      </w:r>
    </w:p>
    <w:p w:rsidR="004E7254" w:rsidRDefault="004E7254" w:rsidP="004E7254">
      <w:pPr>
        <w:spacing w:line="240" w:lineRule="auto"/>
        <w:ind w:left="720"/>
        <w:contextualSpacing/>
        <w:jc w:val="both"/>
        <w:rPr>
          <w:rFonts w:ascii="Arial" w:eastAsiaTheme="minorEastAsia" w:hAnsi="Arial" w:cs="Arial"/>
          <w:sz w:val="24"/>
          <w:szCs w:val="24"/>
        </w:rPr>
      </w:pPr>
    </w:p>
    <w:p w:rsidR="00C92D8D" w:rsidRPr="00C92D8D" w:rsidRDefault="00C92D8D" w:rsidP="004E7254">
      <w:pPr>
        <w:numPr>
          <w:ilvl w:val="1"/>
          <w:numId w:val="2"/>
        </w:numPr>
        <w:spacing w:line="240" w:lineRule="auto"/>
        <w:contextualSpacing/>
        <w:jc w:val="both"/>
        <w:rPr>
          <w:rFonts w:ascii="Arial" w:eastAsiaTheme="minorEastAsia" w:hAnsi="Arial" w:cs="Arial"/>
          <w:sz w:val="24"/>
          <w:szCs w:val="24"/>
        </w:rPr>
      </w:pPr>
      <w:r>
        <w:rPr>
          <w:rFonts w:ascii="Arial" w:eastAsiaTheme="minorEastAsia" w:hAnsi="Arial" w:cs="Arial"/>
          <w:sz w:val="24"/>
          <w:szCs w:val="24"/>
        </w:rPr>
        <w:t>The purpose of this paper is to provide Housing Allocations for the urban and rural areas</w:t>
      </w:r>
      <w:r w:rsidR="00AA553F">
        <w:rPr>
          <w:rFonts w:ascii="Arial" w:eastAsiaTheme="minorEastAsia" w:hAnsi="Arial" w:cs="Arial"/>
          <w:sz w:val="24"/>
          <w:szCs w:val="24"/>
        </w:rPr>
        <w:t xml:space="preserve"> for the period 2015 – 2030 based on the current Housing Growth Indicators provide</w:t>
      </w:r>
      <w:r w:rsidR="00B22D2E">
        <w:rPr>
          <w:rFonts w:ascii="Arial" w:eastAsiaTheme="minorEastAsia" w:hAnsi="Arial" w:cs="Arial"/>
          <w:sz w:val="24"/>
          <w:szCs w:val="24"/>
        </w:rPr>
        <w:t xml:space="preserve">d in the RDS 2035. It should be noted </w:t>
      </w:r>
      <w:r w:rsidR="00AA553F">
        <w:rPr>
          <w:rFonts w:ascii="Arial" w:eastAsiaTheme="minorEastAsia" w:hAnsi="Arial" w:cs="Arial"/>
          <w:sz w:val="24"/>
          <w:szCs w:val="24"/>
        </w:rPr>
        <w:t>that DRD are currently in the process of revising the HGIs for Northern Ireland and upon receipt of the revised HGIs, it is recommended that this paper be updated using those figures.</w:t>
      </w:r>
    </w:p>
    <w:p w:rsidR="00C92D8D" w:rsidRPr="00B22D2E" w:rsidRDefault="00C92D8D" w:rsidP="00C92D8D">
      <w:pPr>
        <w:rPr>
          <w:rFonts w:ascii="Arial" w:eastAsia="Times New Roman" w:hAnsi="Arial" w:cs="Arial"/>
          <w:color w:val="000000"/>
          <w:sz w:val="24"/>
          <w:szCs w:val="24"/>
          <w:lang w:eastAsia="en-GB"/>
        </w:rPr>
      </w:pPr>
    </w:p>
    <w:p w:rsidR="009D77A3" w:rsidRDefault="00925BFC" w:rsidP="00925BFC">
      <w:pPr>
        <w:spacing w:line="240" w:lineRule="auto"/>
        <w:ind w:left="720" w:hanging="720"/>
        <w:contextualSpacing/>
        <w:jc w:val="both"/>
      </w:pPr>
      <w:r w:rsidRPr="00CF20DD">
        <w:rPr>
          <w:rFonts w:ascii="Arial" w:eastAsia="Times New Roman" w:hAnsi="Arial" w:cs="Arial"/>
          <w:color w:val="000000"/>
          <w:sz w:val="24"/>
          <w:szCs w:val="24"/>
          <w:lang w:eastAsia="en-GB"/>
        </w:rPr>
        <w:t>1.3</w:t>
      </w:r>
      <w:r>
        <w:rPr>
          <w:rFonts w:ascii="Arial" w:eastAsia="Times New Roman" w:hAnsi="Arial" w:cs="Arial"/>
          <w:color w:val="000000"/>
          <w:sz w:val="24"/>
          <w:szCs w:val="24"/>
          <w:lang w:eastAsia="en-GB"/>
        </w:rPr>
        <w:tab/>
        <w:t xml:space="preserve">This paper has been informed by the settlement evaluations which proposed a settlement hierarchy for Fermanagh and Omagh District. </w:t>
      </w:r>
      <w:r w:rsidR="00B22D2E">
        <w:rPr>
          <w:rFonts w:ascii="Arial" w:eastAsia="Times New Roman" w:hAnsi="Arial" w:cs="Arial"/>
          <w:color w:val="000000"/>
          <w:sz w:val="24"/>
          <w:szCs w:val="24"/>
          <w:lang w:eastAsia="en-GB"/>
        </w:rPr>
        <w:t xml:space="preserve">Based on the RDS objective of achieving balanced growth and taking account of the HGIs in the RDS 2035, options for allocating housing land across the settlement hierarchy are considered. The consequences of the preferred option for allocating housing land has also been assessed in relation to existing commitments and housing land supply identified within the Northern Ireland Housing Monitor </w:t>
      </w:r>
      <w:r w:rsidR="00B22D2E">
        <w:rPr>
          <w:rFonts w:ascii="Arial" w:eastAsia="Times New Roman" w:hAnsi="Arial" w:cs="Arial"/>
          <w:color w:val="000000"/>
          <w:sz w:val="24"/>
          <w:szCs w:val="24"/>
          <w:lang w:eastAsia="en-GB"/>
        </w:rPr>
        <w:lastRenderedPageBreak/>
        <w:t xml:space="preserve">2014-2015. The position arrived at in this paper will have to be revisited if the current HGIs are revised. The preferred option will be subject to Sustainability Appraisal. </w:t>
      </w:r>
    </w:p>
    <w:p w:rsidR="00FC78E5" w:rsidRDefault="00A82CD8" w:rsidP="00B22D2E">
      <w:pPr>
        <w:ind w:left="720" w:hanging="720"/>
        <w:jc w:val="both"/>
      </w:pPr>
      <w:r>
        <w:rPr>
          <w:rFonts w:ascii="Arial" w:hAnsi="Arial" w:cs="Arial"/>
          <w:sz w:val="24"/>
          <w:szCs w:val="24"/>
        </w:rPr>
        <w:tab/>
      </w:r>
    </w:p>
    <w:p w:rsidR="00C16EC6" w:rsidRDefault="00C16EC6">
      <w:pPr>
        <w:rPr>
          <w:rFonts w:ascii="Arial" w:hAnsi="Arial" w:cs="Arial"/>
          <w:b/>
          <w:sz w:val="28"/>
          <w:szCs w:val="28"/>
        </w:rPr>
      </w:pPr>
      <w:r>
        <w:rPr>
          <w:rFonts w:ascii="Arial" w:hAnsi="Arial" w:cs="Arial"/>
          <w:b/>
          <w:sz w:val="28"/>
          <w:szCs w:val="28"/>
        </w:rPr>
        <w:t>2.0</w:t>
      </w:r>
      <w:r>
        <w:rPr>
          <w:rFonts w:ascii="Arial" w:hAnsi="Arial" w:cs="Arial"/>
          <w:b/>
          <w:sz w:val="28"/>
          <w:szCs w:val="28"/>
        </w:rPr>
        <w:tab/>
        <w:t>Regional P</w:t>
      </w:r>
      <w:r w:rsidRPr="00C16EC6">
        <w:rPr>
          <w:rFonts w:ascii="Arial" w:hAnsi="Arial" w:cs="Arial"/>
          <w:b/>
          <w:sz w:val="28"/>
          <w:szCs w:val="28"/>
        </w:rPr>
        <w:t>olicy Context</w:t>
      </w:r>
    </w:p>
    <w:p w:rsidR="00B1361B" w:rsidRDefault="00C16EC6" w:rsidP="00FC78E5">
      <w:pPr>
        <w:ind w:left="720" w:hanging="720"/>
        <w:jc w:val="both"/>
        <w:rPr>
          <w:rFonts w:ascii="Arial" w:hAnsi="Arial" w:cs="Arial"/>
          <w:sz w:val="24"/>
          <w:szCs w:val="24"/>
        </w:rPr>
      </w:pPr>
      <w:r w:rsidRPr="00CF20DD">
        <w:rPr>
          <w:rFonts w:ascii="Arial" w:hAnsi="Arial" w:cs="Arial"/>
          <w:sz w:val="24"/>
          <w:szCs w:val="24"/>
        </w:rPr>
        <w:t>2.1</w:t>
      </w:r>
      <w:r>
        <w:rPr>
          <w:rFonts w:ascii="Arial" w:hAnsi="Arial" w:cs="Arial"/>
          <w:sz w:val="24"/>
          <w:szCs w:val="24"/>
        </w:rPr>
        <w:tab/>
      </w:r>
      <w:r w:rsidR="00691D71" w:rsidRPr="0044003C">
        <w:rPr>
          <w:rFonts w:ascii="Arial" w:hAnsi="Arial" w:cs="Arial"/>
          <w:sz w:val="24"/>
          <w:szCs w:val="24"/>
        </w:rPr>
        <w:t>The Regional Policy Context is provided by the Regional Development Strategy (RDS) 2035 and region</w:t>
      </w:r>
      <w:r w:rsidR="00691D71">
        <w:rPr>
          <w:rFonts w:ascii="Arial" w:hAnsi="Arial" w:cs="Arial"/>
          <w:sz w:val="24"/>
          <w:szCs w:val="24"/>
        </w:rPr>
        <w:t>al planning policy statements.</w:t>
      </w:r>
    </w:p>
    <w:p w:rsidR="00B22D2E" w:rsidRDefault="00B22D2E" w:rsidP="00FC78E5">
      <w:pPr>
        <w:ind w:left="720" w:hanging="720"/>
        <w:jc w:val="both"/>
        <w:rPr>
          <w:rFonts w:ascii="Arial" w:hAnsi="Arial" w:cs="Arial"/>
          <w:sz w:val="24"/>
          <w:szCs w:val="24"/>
        </w:rPr>
      </w:pPr>
      <w:r>
        <w:rPr>
          <w:rFonts w:ascii="Arial" w:hAnsi="Arial" w:cs="Arial"/>
          <w:b/>
          <w:sz w:val="24"/>
          <w:szCs w:val="24"/>
        </w:rPr>
        <w:tab/>
        <w:t>a) Regional Development Strategy (RDS) 2035</w:t>
      </w:r>
    </w:p>
    <w:p w:rsidR="00B1361B" w:rsidRDefault="00B1361B" w:rsidP="00D71C24">
      <w:pPr>
        <w:spacing w:line="240" w:lineRule="auto"/>
        <w:ind w:left="720" w:hanging="720"/>
        <w:jc w:val="both"/>
        <w:rPr>
          <w:rFonts w:ascii="Arial" w:hAnsi="Arial" w:cs="Arial"/>
          <w:sz w:val="24"/>
          <w:szCs w:val="24"/>
        </w:rPr>
      </w:pPr>
      <w:r w:rsidRPr="00CF20DD">
        <w:rPr>
          <w:rFonts w:ascii="Arial" w:hAnsi="Arial" w:cs="Arial"/>
          <w:sz w:val="24"/>
          <w:szCs w:val="24"/>
        </w:rPr>
        <w:t>2.2</w:t>
      </w:r>
      <w:r w:rsidR="00D07759">
        <w:rPr>
          <w:rFonts w:ascii="Arial" w:hAnsi="Arial" w:cs="Arial"/>
          <w:sz w:val="24"/>
          <w:szCs w:val="24"/>
        </w:rPr>
        <w:tab/>
        <w:t xml:space="preserve">The RDS </w:t>
      </w:r>
      <w:r w:rsidR="00D07759" w:rsidRPr="006220FF">
        <w:rPr>
          <w:rFonts w:ascii="Arial" w:hAnsi="Arial" w:cs="Arial"/>
          <w:sz w:val="24"/>
          <w:szCs w:val="24"/>
        </w:rPr>
        <w:t>sets policy directions for the provision of housing that aim to deliver development in a more sustainable manner. Th</w:t>
      </w:r>
      <w:r w:rsidR="00D07759">
        <w:rPr>
          <w:rFonts w:ascii="Arial" w:hAnsi="Arial" w:cs="Arial"/>
          <w:sz w:val="24"/>
          <w:szCs w:val="24"/>
        </w:rPr>
        <w:t xml:space="preserve">is means </w:t>
      </w:r>
      <w:r w:rsidR="00D07759" w:rsidRPr="006220FF">
        <w:rPr>
          <w:rFonts w:ascii="Arial" w:hAnsi="Arial" w:cs="Arial"/>
          <w:sz w:val="24"/>
          <w:szCs w:val="24"/>
        </w:rPr>
        <w:t>providing additional housing in the Hubs (SFG 12) and sustaining rural communities living in smaller settlements (i.e. smaller towns and villag</w:t>
      </w:r>
      <w:r w:rsidR="00D07759">
        <w:rPr>
          <w:rFonts w:ascii="Arial" w:hAnsi="Arial" w:cs="Arial"/>
          <w:sz w:val="24"/>
          <w:szCs w:val="24"/>
        </w:rPr>
        <w:t>es) and the open countryside (SF</w:t>
      </w:r>
      <w:r w:rsidR="00D07759" w:rsidRPr="006220FF">
        <w:rPr>
          <w:rFonts w:ascii="Arial" w:hAnsi="Arial" w:cs="Arial"/>
          <w:sz w:val="24"/>
          <w:szCs w:val="24"/>
        </w:rPr>
        <w:t>G 13).</w:t>
      </w:r>
      <w:r w:rsidR="00D07759">
        <w:rPr>
          <w:rFonts w:ascii="Arial" w:hAnsi="Arial" w:cs="Arial"/>
          <w:sz w:val="24"/>
          <w:szCs w:val="24"/>
        </w:rPr>
        <w:t xml:space="preserve"> It is important to reinforce our vibrant rural communities so that they do not begin to decline at the expense of the main urban centres/hubs.</w:t>
      </w:r>
    </w:p>
    <w:p w:rsidR="00D71C24" w:rsidRDefault="00960C24" w:rsidP="00D71C24">
      <w:pPr>
        <w:spacing w:line="240" w:lineRule="auto"/>
        <w:ind w:left="720" w:hanging="720"/>
        <w:jc w:val="both"/>
        <w:rPr>
          <w:rFonts w:ascii="Arial" w:hAnsi="Arial" w:cs="Arial"/>
          <w:sz w:val="24"/>
          <w:szCs w:val="24"/>
        </w:rPr>
      </w:pPr>
      <w:r w:rsidRPr="00CF20DD">
        <w:rPr>
          <w:rFonts w:ascii="Arial" w:hAnsi="Arial" w:cs="Arial"/>
          <w:sz w:val="24"/>
          <w:szCs w:val="24"/>
        </w:rPr>
        <w:t>2</w:t>
      </w:r>
      <w:r w:rsidR="00D07759" w:rsidRPr="00CF20DD">
        <w:rPr>
          <w:rFonts w:ascii="Arial" w:hAnsi="Arial" w:cs="Arial"/>
          <w:sz w:val="24"/>
          <w:szCs w:val="24"/>
        </w:rPr>
        <w:t>.3</w:t>
      </w:r>
      <w:r>
        <w:rPr>
          <w:rFonts w:ascii="Arial" w:hAnsi="Arial" w:cs="Arial"/>
          <w:b/>
          <w:sz w:val="24"/>
          <w:szCs w:val="24"/>
        </w:rPr>
        <w:tab/>
      </w:r>
      <w:r w:rsidR="00D07759" w:rsidRPr="00D07759">
        <w:rPr>
          <w:rFonts w:ascii="Arial" w:hAnsi="Arial" w:cs="Arial"/>
          <w:sz w:val="24"/>
          <w:szCs w:val="24"/>
        </w:rPr>
        <w:t>In accordance with this objective, the</w:t>
      </w:r>
      <w:r w:rsidR="00D07759">
        <w:rPr>
          <w:rFonts w:ascii="Arial" w:hAnsi="Arial" w:cs="Arial"/>
          <w:b/>
          <w:sz w:val="24"/>
          <w:szCs w:val="24"/>
        </w:rPr>
        <w:t xml:space="preserve"> </w:t>
      </w:r>
      <w:r w:rsidR="00D07759">
        <w:rPr>
          <w:rFonts w:ascii="Arial" w:hAnsi="Arial" w:cs="Arial"/>
          <w:sz w:val="24"/>
          <w:szCs w:val="24"/>
        </w:rPr>
        <w:t>RDS,</w:t>
      </w:r>
      <w:r w:rsidR="00D71C24">
        <w:rPr>
          <w:rFonts w:ascii="Arial" w:hAnsi="Arial" w:cs="Arial"/>
          <w:sz w:val="24"/>
          <w:szCs w:val="24"/>
        </w:rPr>
        <w:t xml:space="preserve"> sets </w:t>
      </w:r>
      <w:r w:rsidR="00D07759" w:rsidRPr="006220FF">
        <w:rPr>
          <w:rFonts w:ascii="Arial" w:hAnsi="Arial" w:cs="Arial"/>
          <w:sz w:val="24"/>
          <w:szCs w:val="24"/>
        </w:rPr>
        <w:t>a regional target of 60% of new housing to be located in appropriate “brownfield” sites</w:t>
      </w:r>
      <w:r w:rsidR="00D71C24">
        <w:rPr>
          <w:rStyle w:val="FootnoteReference"/>
          <w:rFonts w:ascii="Arial" w:hAnsi="Arial" w:cs="Arial"/>
          <w:sz w:val="24"/>
          <w:szCs w:val="24"/>
        </w:rPr>
        <w:footnoteReference w:id="1"/>
      </w:r>
      <w:r w:rsidR="00D71C24">
        <w:rPr>
          <w:rFonts w:ascii="Arial" w:hAnsi="Arial" w:cs="Arial"/>
          <w:sz w:val="24"/>
          <w:szCs w:val="24"/>
        </w:rPr>
        <w:t xml:space="preserve"> within the urban </w:t>
      </w:r>
      <w:r w:rsidR="00D07759" w:rsidRPr="006220FF">
        <w:rPr>
          <w:rFonts w:ascii="Arial" w:hAnsi="Arial" w:cs="Arial"/>
          <w:sz w:val="24"/>
          <w:szCs w:val="24"/>
        </w:rPr>
        <w:t>footprints</w:t>
      </w:r>
      <w:r w:rsidR="00D71C24">
        <w:rPr>
          <w:rStyle w:val="FootnoteReference"/>
          <w:rFonts w:ascii="Arial" w:hAnsi="Arial" w:cs="Arial"/>
          <w:sz w:val="24"/>
          <w:szCs w:val="24"/>
        </w:rPr>
        <w:footnoteReference w:id="2"/>
      </w:r>
      <w:r w:rsidR="00D07759" w:rsidRPr="006220FF">
        <w:rPr>
          <w:rFonts w:ascii="Arial" w:hAnsi="Arial" w:cs="Arial"/>
          <w:sz w:val="24"/>
          <w:szCs w:val="24"/>
        </w:rPr>
        <w:t xml:space="preserve"> of settlements greater than 5</w:t>
      </w:r>
      <w:r w:rsidR="00D71C24">
        <w:rPr>
          <w:rFonts w:ascii="Arial" w:hAnsi="Arial" w:cs="Arial"/>
          <w:sz w:val="24"/>
          <w:szCs w:val="24"/>
        </w:rPr>
        <w:t>,</w:t>
      </w:r>
      <w:r w:rsidR="00D07759" w:rsidRPr="006220FF">
        <w:rPr>
          <w:rFonts w:ascii="Arial" w:hAnsi="Arial" w:cs="Arial"/>
          <w:sz w:val="24"/>
          <w:szCs w:val="24"/>
        </w:rPr>
        <w:t>000 population (RG 8).</w:t>
      </w:r>
      <w:r w:rsidR="00D71C24">
        <w:rPr>
          <w:rFonts w:ascii="Arial" w:hAnsi="Arial" w:cs="Arial"/>
          <w:sz w:val="24"/>
          <w:szCs w:val="24"/>
        </w:rPr>
        <w:t xml:space="preserve"> In Fermanagh and Omagh, there are two settlements which have a population significantly greater than 5,000 – Enniskillen (13,823) and Omagh (19,659)</w:t>
      </w:r>
      <w:r w:rsidR="00D71C24">
        <w:rPr>
          <w:rStyle w:val="FootnoteReference"/>
          <w:rFonts w:ascii="Arial" w:hAnsi="Arial" w:cs="Arial"/>
          <w:sz w:val="24"/>
          <w:szCs w:val="24"/>
        </w:rPr>
        <w:footnoteReference w:id="3"/>
      </w:r>
      <w:r w:rsidR="00D71C24">
        <w:rPr>
          <w:rFonts w:ascii="Arial" w:hAnsi="Arial" w:cs="Arial"/>
          <w:sz w:val="24"/>
          <w:szCs w:val="24"/>
        </w:rPr>
        <w:t>.</w:t>
      </w:r>
    </w:p>
    <w:p w:rsidR="005F4EBD" w:rsidRDefault="00D71C24" w:rsidP="005F4EBD">
      <w:pPr>
        <w:spacing w:line="240" w:lineRule="auto"/>
        <w:ind w:left="720" w:hanging="720"/>
        <w:jc w:val="both"/>
        <w:rPr>
          <w:rFonts w:ascii="Arial" w:hAnsi="Arial" w:cs="Arial"/>
          <w:sz w:val="24"/>
          <w:szCs w:val="24"/>
        </w:rPr>
      </w:pPr>
      <w:r w:rsidRPr="00CF20DD">
        <w:rPr>
          <w:rFonts w:ascii="Arial" w:hAnsi="Arial" w:cs="Arial"/>
          <w:sz w:val="24"/>
          <w:szCs w:val="24"/>
        </w:rPr>
        <w:t>2.4</w:t>
      </w:r>
      <w:r w:rsidRPr="00D71C24">
        <w:rPr>
          <w:rFonts w:ascii="Arial" w:hAnsi="Arial" w:cs="Arial"/>
          <w:b/>
          <w:sz w:val="24"/>
          <w:szCs w:val="24"/>
        </w:rPr>
        <w:tab/>
      </w:r>
      <w:r w:rsidRPr="006220FF">
        <w:rPr>
          <w:rFonts w:ascii="Arial" w:hAnsi="Arial" w:cs="Arial"/>
          <w:sz w:val="24"/>
          <w:szCs w:val="24"/>
        </w:rPr>
        <w:t>The RDS identifie</w:t>
      </w:r>
      <w:r>
        <w:rPr>
          <w:rFonts w:ascii="Arial" w:hAnsi="Arial" w:cs="Arial"/>
          <w:sz w:val="24"/>
          <w:szCs w:val="24"/>
        </w:rPr>
        <w:t>s</w:t>
      </w:r>
      <w:r w:rsidRPr="006220FF">
        <w:rPr>
          <w:rFonts w:ascii="Arial" w:hAnsi="Arial" w:cs="Arial"/>
          <w:sz w:val="24"/>
          <w:szCs w:val="24"/>
        </w:rPr>
        <w:t xml:space="preserve"> regional housing need</w:t>
      </w:r>
      <w:r>
        <w:rPr>
          <w:rFonts w:ascii="Arial" w:hAnsi="Arial" w:cs="Arial"/>
          <w:sz w:val="24"/>
          <w:szCs w:val="24"/>
        </w:rPr>
        <w:t>s as Housing Growth Indicators (HGIs) across Northern Ireland.</w:t>
      </w:r>
      <w:r w:rsidRPr="006220FF">
        <w:rPr>
          <w:rFonts w:ascii="Arial" w:hAnsi="Arial" w:cs="Arial"/>
          <w:sz w:val="24"/>
          <w:szCs w:val="24"/>
        </w:rPr>
        <w:t xml:space="preserve"> </w:t>
      </w:r>
      <w:r>
        <w:rPr>
          <w:rFonts w:ascii="Arial" w:hAnsi="Arial" w:cs="Arial"/>
          <w:sz w:val="24"/>
          <w:szCs w:val="24"/>
        </w:rPr>
        <w:t>HGIs have been produced as a guide for the preparation of development plans and the figures are an estimate of the new dwelling requirement for the former</w:t>
      </w:r>
      <w:r w:rsidR="005F4EBD">
        <w:rPr>
          <w:rFonts w:ascii="Arial" w:hAnsi="Arial" w:cs="Arial"/>
          <w:sz w:val="24"/>
          <w:szCs w:val="24"/>
        </w:rPr>
        <w:t xml:space="preserve"> 26 districts</w:t>
      </w:r>
      <w:r>
        <w:rPr>
          <w:rFonts w:ascii="Arial" w:hAnsi="Arial" w:cs="Arial"/>
          <w:sz w:val="24"/>
          <w:szCs w:val="24"/>
        </w:rPr>
        <w:t xml:space="preserve"> for the period 2008-2025. </w:t>
      </w:r>
      <w:r w:rsidRPr="006220FF">
        <w:rPr>
          <w:rFonts w:ascii="Arial" w:hAnsi="Arial" w:cs="Arial"/>
          <w:sz w:val="24"/>
          <w:szCs w:val="24"/>
        </w:rPr>
        <w:t xml:space="preserve">The </w:t>
      </w:r>
      <w:r>
        <w:rPr>
          <w:rFonts w:ascii="Arial" w:hAnsi="Arial" w:cs="Arial"/>
          <w:sz w:val="24"/>
          <w:szCs w:val="24"/>
        </w:rPr>
        <w:t xml:space="preserve">HGI has been set at </w:t>
      </w:r>
      <w:r w:rsidRPr="006220FF">
        <w:rPr>
          <w:rFonts w:ascii="Arial" w:hAnsi="Arial" w:cs="Arial"/>
          <w:sz w:val="24"/>
          <w:szCs w:val="24"/>
        </w:rPr>
        <w:t xml:space="preserve">6,800 dwellings </w:t>
      </w:r>
      <w:r>
        <w:rPr>
          <w:rFonts w:ascii="Arial" w:hAnsi="Arial" w:cs="Arial"/>
          <w:sz w:val="24"/>
          <w:szCs w:val="24"/>
        </w:rPr>
        <w:t xml:space="preserve">for Fermanagh </w:t>
      </w:r>
      <w:r w:rsidRPr="006220FF">
        <w:rPr>
          <w:rFonts w:ascii="Arial" w:hAnsi="Arial" w:cs="Arial"/>
          <w:sz w:val="24"/>
          <w:szCs w:val="24"/>
        </w:rPr>
        <w:t>and 6,100 in Omagh District.  When projected on a pro rata basis to 2030</w:t>
      </w:r>
      <w:r w:rsidR="005F4EBD">
        <w:rPr>
          <w:rFonts w:ascii="Arial" w:hAnsi="Arial" w:cs="Arial"/>
          <w:sz w:val="24"/>
          <w:szCs w:val="24"/>
        </w:rPr>
        <w:t xml:space="preserve"> the end of the plan period</w:t>
      </w:r>
      <w:r w:rsidRPr="006220FF">
        <w:rPr>
          <w:rFonts w:ascii="Arial" w:hAnsi="Arial" w:cs="Arial"/>
          <w:sz w:val="24"/>
          <w:szCs w:val="24"/>
        </w:rPr>
        <w:t>, the figures are 8,800 for Fermanagh District and</w:t>
      </w:r>
      <w:r w:rsidR="00863812">
        <w:rPr>
          <w:rFonts w:ascii="Arial" w:hAnsi="Arial" w:cs="Arial"/>
          <w:sz w:val="24"/>
          <w:szCs w:val="24"/>
        </w:rPr>
        <w:t xml:space="preserve"> 7,898</w:t>
      </w:r>
      <w:r w:rsidR="005F4EBD">
        <w:rPr>
          <w:rFonts w:ascii="Arial" w:hAnsi="Arial" w:cs="Arial"/>
          <w:sz w:val="24"/>
          <w:szCs w:val="24"/>
        </w:rPr>
        <w:t xml:space="preserve"> for Omagh District (Table 1)</w:t>
      </w:r>
    </w:p>
    <w:p w:rsidR="005F4EBD" w:rsidRPr="005F4EBD" w:rsidRDefault="005F4EBD" w:rsidP="00C92D8D">
      <w:pPr>
        <w:spacing w:line="240" w:lineRule="auto"/>
        <w:ind w:left="720" w:hanging="720"/>
        <w:jc w:val="both"/>
        <w:rPr>
          <w:rFonts w:ascii="Arial" w:hAnsi="Arial" w:cs="Arial"/>
          <w:b/>
          <w:sz w:val="24"/>
          <w:szCs w:val="24"/>
        </w:rPr>
      </w:pPr>
      <w:r>
        <w:rPr>
          <w:rFonts w:ascii="Arial" w:hAnsi="Arial" w:cs="Arial"/>
          <w:sz w:val="24"/>
          <w:szCs w:val="24"/>
        </w:rPr>
        <w:tab/>
      </w:r>
      <w:r w:rsidRPr="005F4EBD">
        <w:rPr>
          <w:rFonts w:ascii="Arial" w:hAnsi="Arial" w:cs="Arial"/>
          <w:b/>
          <w:sz w:val="24"/>
          <w:szCs w:val="24"/>
        </w:rPr>
        <w:t>Table 1:</w:t>
      </w:r>
      <w:r>
        <w:rPr>
          <w:rFonts w:ascii="Arial" w:hAnsi="Arial" w:cs="Arial"/>
          <w:b/>
          <w:sz w:val="24"/>
          <w:szCs w:val="24"/>
        </w:rPr>
        <w:t xml:space="preserve"> </w:t>
      </w:r>
      <w:r w:rsidRPr="005F4EBD">
        <w:rPr>
          <w:rFonts w:ascii="Arial" w:hAnsi="Arial" w:cs="Arial"/>
          <w:b/>
          <w:sz w:val="24"/>
          <w:szCs w:val="24"/>
        </w:rPr>
        <w:t>HGI Projected Figures to 2030</w:t>
      </w:r>
    </w:p>
    <w:tbl>
      <w:tblPr>
        <w:tblStyle w:val="TableGrid"/>
        <w:tblW w:w="0" w:type="auto"/>
        <w:tblInd w:w="720" w:type="dxa"/>
        <w:tblLook w:val="04A0" w:firstRow="1" w:lastRow="0" w:firstColumn="1" w:lastColumn="0" w:noHBand="0" w:noVBand="1"/>
      </w:tblPr>
      <w:tblGrid>
        <w:gridCol w:w="4152"/>
        <w:gridCol w:w="4144"/>
      </w:tblGrid>
      <w:tr w:rsidR="005F4EBD" w:rsidTr="005F4EBD">
        <w:tc>
          <w:tcPr>
            <w:tcW w:w="4508" w:type="dxa"/>
          </w:tcPr>
          <w:p w:rsidR="005F4EBD" w:rsidRPr="005F4EBD" w:rsidRDefault="005F4EBD" w:rsidP="00C92D8D">
            <w:pPr>
              <w:jc w:val="both"/>
              <w:rPr>
                <w:rFonts w:ascii="Arial" w:hAnsi="Arial" w:cs="Arial"/>
                <w:b/>
                <w:sz w:val="24"/>
                <w:szCs w:val="24"/>
              </w:rPr>
            </w:pPr>
            <w:r w:rsidRPr="005F4EBD">
              <w:rPr>
                <w:rFonts w:ascii="Arial" w:hAnsi="Arial" w:cs="Arial"/>
                <w:b/>
                <w:sz w:val="24"/>
                <w:szCs w:val="24"/>
              </w:rPr>
              <w:t>DISTRICT (HISTORIC)</w:t>
            </w:r>
          </w:p>
        </w:tc>
        <w:tc>
          <w:tcPr>
            <w:tcW w:w="4508" w:type="dxa"/>
          </w:tcPr>
          <w:p w:rsidR="005F4EBD" w:rsidRPr="005F4EBD" w:rsidRDefault="005F4EBD" w:rsidP="00C92D8D">
            <w:pPr>
              <w:jc w:val="both"/>
              <w:rPr>
                <w:rFonts w:ascii="Arial" w:hAnsi="Arial" w:cs="Arial"/>
                <w:b/>
                <w:sz w:val="24"/>
                <w:szCs w:val="24"/>
              </w:rPr>
            </w:pPr>
            <w:r w:rsidRPr="005F4EBD">
              <w:rPr>
                <w:rFonts w:ascii="Arial" w:hAnsi="Arial" w:cs="Arial"/>
                <w:b/>
                <w:sz w:val="24"/>
                <w:szCs w:val="24"/>
              </w:rPr>
              <w:t>HGI PROJECTED TO 2030</w:t>
            </w:r>
          </w:p>
        </w:tc>
      </w:tr>
      <w:tr w:rsidR="005F4EBD" w:rsidTr="005F4EBD">
        <w:tc>
          <w:tcPr>
            <w:tcW w:w="4508" w:type="dxa"/>
          </w:tcPr>
          <w:p w:rsidR="005F4EBD" w:rsidRDefault="005F4EBD" w:rsidP="00C92D8D">
            <w:pPr>
              <w:jc w:val="both"/>
              <w:rPr>
                <w:rFonts w:ascii="Arial" w:hAnsi="Arial" w:cs="Arial"/>
                <w:sz w:val="24"/>
                <w:szCs w:val="24"/>
              </w:rPr>
            </w:pPr>
            <w:r>
              <w:rPr>
                <w:rFonts w:ascii="Arial" w:hAnsi="Arial" w:cs="Arial"/>
                <w:sz w:val="24"/>
                <w:szCs w:val="24"/>
              </w:rPr>
              <w:t>FERMANAGH</w:t>
            </w:r>
          </w:p>
        </w:tc>
        <w:tc>
          <w:tcPr>
            <w:tcW w:w="4508" w:type="dxa"/>
          </w:tcPr>
          <w:p w:rsidR="005F4EBD" w:rsidRDefault="005F4EBD" w:rsidP="00C92D8D">
            <w:pPr>
              <w:jc w:val="both"/>
              <w:rPr>
                <w:rFonts w:ascii="Arial" w:hAnsi="Arial" w:cs="Arial"/>
                <w:sz w:val="24"/>
                <w:szCs w:val="24"/>
              </w:rPr>
            </w:pPr>
            <w:r>
              <w:rPr>
                <w:rFonts w:ascii="Arial" w:hAnsi="Arial" w:cs="Arial"/>
                <w:sz w:val="24"/>
                <w:szCs w:val="24"/>
              </w:rPr>
              <w:t>8,800</w:t>
            </w:r>
          </w:p>
        </w:tc>
      </w:tr>
      <w:tr w:rsidR="005F4EBD" w:rsidTr="005F4EBD">
        <w:tc>
          <w:tcPr>
            <w:tcW w:w="4508" w:type="dxa"/>
          </w:tcPr>
          <w:p w:rsidR="005F4EBD" w:rsidRDefault="005F4EBD" w:rsidP="00C92D8D">
            <w:pPr>
              <w:jc w:val="both"/>
              <w:rPr>
                <w:rFonts w:ascii="Arial" w:hAnsi="Arial" w:cs="Arial"/>
                <w:sz w:val="24"/>
                <w:szCs w:val="24"/>
              </w:rPr>
            </w:pPr>
            <w:r>
              <w:rPr>
                <w:rFonts w:ascii="Arial" w:hAnsi="Arial" w:cs="Arial"/>
                <w:sz w:val="24"/>
                <w:szCs w:val="24"/>
              </w:rPr>
              <w:t>OMAGH</w:t>
            </w:r>
          </w:p>
        </w:tc>
        <w:tc>
          <w:tcPr>
            <w:tcW w:w="4508" w:type="dxa"/>
          </w:tcPr>
          <w:p w:rsidR="005F4EBD" w:rsidRDefault="00863812" w:rsidP="00C92D8D">
            <w:pPr>
              <w:jc w:val="both"/>
              <w:rPr>
                <w:rFonts w:ascii="Arial" w:hAnsi="Arial" w:cs="Arial"/>
                <w:sz w:val="24"/>
                <w:szCs w:val="24"/>
              </w:rPr>
            </w:pPr>
            <w:r>
              <w:rPr>
                <w:rFonts w:ascii="Arial" w:hAnsi="Arial" w:cs="Arial"/>
                <w:sz w:val="24"/>
                <w:szCs w:val="24"/>
              </w:rPr>
              <w:t>7,898</w:t>
            </w:r>
          </w:p>
        </w:tc>
      </w:tr>
      <w:tr w:rsidR="005F4EBD" w:rsidTr="005F4EBD">
        <w:tc>
          <w:tcPr>
            <w:tcW w:w="4508" w:type="dxa"/>
          </w:tcPr>
          <w:p w:rsidR="005F4EBD" w:rsidRPr="005F4EBD" w:rsidRDefault="005F4EBD" w:rsidP="00C92D8D">
            <w:pPr>
              <w:jc w:val="both"/>
              <w:rPr>
                <w:rFonts w:ascii="Arial" w:hAnsi="Arial" w:cs="Arial"/>
                <w:b/>
                <w:sz w:val="24"/>
                <w:szCs w:val="24"/>
              </w:rPr>
            </w:pPr>
            <w:r w:rsidRPr="005F4EBD">
              <w:rPr>
                <w:rFonts w:ascii="Arial" w:hAnsi="Arial" w:cs="Arial"/>
                <w:b/>
                <w:sz w:val="24"/>
                <w:szCs w:val="24"/>
              </w:rPr>
              <w:t>TOTAL</w:t>
            </w:r>
          </w:p>
        </w:tc>
        <w:tc>
          <w:tcPr>
            <w:tcW w:w="4508" w:type="dxa"/>
          </w:tcPr>
          <w:p w:rsidR="005F4EBD" w:rsidRPr="005F4EBD" w:rsidRDefault="00863812" w:rsidP="00C92D8D">
            <w:pPr>
              <w:jc w:val="both"/>
              <w:rPr>
                <w:rFonts w:ascii="Arial" w:hAnsi="Arial" w:cs="Arial"/>
                <w:b/>
                <w:sz w:val="24"/>
                <w:szCs w:val="24"/>
              </w:rPr>
            </w:pPr>
            <w:r>
              <w:rPr>
                <w:rFonts w:ascii="Arial" w:hAnsi="Arial" w:cs="Arial"/>
                <w:b/>
                <w:sz w:val="24"/>
                <w:szCs w:val="24"/>
              </w:rPr>
              <w:t>16,698</w:t>
            </w:r>
          </w:p>
        </w:tc>
      </w:tr>
    </w:tbl>
    <w:p w:rsidR="005F4EBD" w:rsidRDefault="005F4EBD" w:rsidP="00C92D8D">
      <w:pPr>
        <w:spacing w:line="240" w:lineRule="auto"/>
        <w:ind w:left="720" w:hanging="720"/>
        <w:jc w:val="both"/>
        <w:rPr>
          <w:rFonts w:ascii="Arial" w:hAnsi="Arial" w:cs="Arial"/>
          <w:sz w:val="24"/>
          <w:szCs w:val="24"/>
        </w:rPr>
      </w:pPr>
    </w:p>
    <w:p w:rsidR="005F4EBD" w:rsidRDefault="005F4EBD" w:rsidP="00C92D8D">
      <w:pPr>
        <w:spacing w:line="240" w:lineRule="auto"/>
        <w:ind w:left="720" w:hanging="720"/>
        <w:jc w:val="both"/>
        <w:rPr>
          <w:rFonts w:ascii="Arial" w:hAnsi="Arial" w:cs="Arial"/>
          <w:sz w:val="24"/>
          <w:szCs w:val="24"/>
        </w:rPr>
      </w:pPr>
      <w:r w:rsidRPr="00CF20DD">
        <w:rPr>
          <w:rFonts w:ascii="Arial" w:hAnsi="Arial" w:cs="Arial"/>
          <w:sz w:val="24"/>
          <w:szCs w:val="24"/>
        </w:rPr>
        <w:t>2.5</w:t>
      </w:r>
      <w:r w:rsidRPr="005F4EBD">
        <w:rPr>
          <w:rFonts w:ascii="Arial" w:hAnsi="Arial" w:cs="Arial"/>
          <w:b/>
          <w:sz w:val="24"/>
          <w:szCs w:val="24"/>
        </w:rPr>
        <w:tab/>
      </w:r>
      <w:r>
        <w:rPr>
          <w:rFonts w:ascii="Arial" w:hAnsi="Arial" w:cs="Arial"/>
          <w:sz w:val="24"/>
          <w:szCs w:val="24"/>
        </w:rPr>
        <w:t>However, recent advice from DRD is that the HGI figures are currently being revised. DRD have stated that the revised figures will be closely based on the most recent NISRA household projections figures (NISRA March 2015) and that, accordingly, there is likely to be a significant reduction in the revised HGIs</w:t>
      </w:r>
      <w:r w:rsidR="00C521FB">
        <w:rPr>
          <w:rFonts w:ascii="Arial" w:hAnsi="Arial" w:cs="Arial"/>
          <w:sz w:val="24"/>
          <w:szCs w:val="24"/>
        </w:rPr>
        <w:t>.</w:t>
      </w:r>
    </w:p>
    <w:p w:rsidR="00C521FB" w:rsidRDefault="00C521FB" w:rsidP="00C92D8D">
      <w:pPr>
        <w:spacing w:line="240" w:lineRule="auto"/>
        <w:ind w:left="720" w:hanging="720"/>
        <w:jc w:val="both"/>
        <w:rPr>
          <w:rFonts w:ascii="Arial" w:hAnsi="Arial" w:cs="Arial"/>
          <w:sz w:val="24"/>
          <w:szCs w:val="24"/>
        </w:rPr>
      </w:pPr>
    </w:p>
    <w:p w:rsidR="00C521FB" w:rsidRPr="00C521FB" w:rsidRDefault="00C521FB" w:rsidP="00C92D8D">
      <w:pPr>
        <w:spacing w:line="240" w:lineRule="auto"/>
        <w:ind w:left="720" w:hanging="720"/>
        <w:jc w:val="both"/>
        <w:rPr>
          <w:rFonts w:ascii="Arial" w:hAnsi="Arial" w:cs="Arial"/>
          <w:b/>
          <w:sz w:val="24"/>
          <w:szCs w:val="24"/>
        </w:rPr>
      </w:pPr>
      <w:r>
        <w:rPr>
          <w:rFonts w:ascii="Arial" w:hAnsi="Arial" w:cs="Arial"/>
          <w:sz w:val="24"/>
          <w:szCs w:val="24"/>
        </w:rPr>
        <w:lastRenderedPageBreak/>
        <w:tab/>
      </w:r>
      <w:r w:rsidR="005A3342">
        <w:rPr>
          <w:rFonts w:ascii="Arial" w:hAnsi="Arial" w:cs="Arial"/>
          <w:b/>
          <w:sz w:val="24"/>
          <w:szCs w:val="24"/>
        </w:rPr>
        <w:t xml:space="preserve">b) </w:t>
      </w:r>
      <w:r w:rsidRPr="00C521FB">
        <w:rPr>
          <w:rFonts w:ascii="Arial" w:hAnsi="Arial" w:cs="Arial"/>
          <w:b/>
          <w:sz w:val="24"/>
          <w:szCs w:val="24"/>
        </w:rPr>
        <w:t>Strategic Planning Policy Statement</w:t>
      </w:r>
      <w:r w:rsidR="005A3342">
        <w:rPr>
          <w:rFonts w:ascii="Arial" w:hAnsi="Arial" w:cs="Arial"/>
          <w:b/>
          <w:sz w:val="24"/>
          <w:szCs w:val="24"/>
        </w:rPr>
        <w:t xml:space="preserve"> (</w:t>
      </w:r>
      <w:r w:rsidR="007920C7">
        <w:rPr>
          <w:rFonts w:ascii="Arial" w:hAnsi="Arial" w:cs="Arial"/>
          <w:b/>
          <w:sz w:val="24"/>
          <w:szCs w:val="24"/>
        </w:rPr>
        <w:t>SPPS)</w:t>
      </w:r>
    </w:p>
    <w:p w:rsidR="00C521FB" w:rsidRDefault="00C521FB" w:rsidP="00C92D8D">
      <w:pPr>
        <w:spacing w:line="240" w:lineRule="auto"/>
        <w:ind w:left="720" w:hanging="720"/>
        <w:jc w:val="both"/>
        <w:rPr>
          <w:rFonts w:ascii="Arial" w:hAnsi="Arial" w:cs="Arial"/>
          <w:sz w:val="24"/>
          <w:szCs w:val="24"/>
        </w:rPr>
      </w:pPr>
      <w:r w:rsidRPr="00CF20DD">
        <w:rPr>
          <w:rFonts w:ascii="Arial" w:hAnsi="Arial" w:cs="Arial"/>
          <w:sz w:val="24"/>
          <w:szCs w:val="24"/>
        </w:rPr>
        <w:t>2.6</w:t>
      </w:r>
      <w:r>
        <w:rPr>
          <w:rFonts w:ascii="Arial" w:hAnsi="Arial" w:cs="Arial"/>
          <w:b/>
          <w:sz w:val="24"/>
          <w:szCs w:val="24"/>
        </w:rPr>
        <w:tab/>
      </w:r>
      <w:r>
        <w:rPr>
          <w:rFonts w:ascii="Arial" w:hAnsi="Arial" w:cs="Arial"/>
          <w:sz w:val="24"/>
          <w:szCs w:val="24"/>
        </w:rPr>
        <w:t>The SPPS aims to underpin the regional guidelines in the RDS by promoting a more sust</w:t>
      </w:r>
      <w:r w:rsidR="007F13CC">
        <w:rPr>
          <w:rFonts w:ascii="Arial" w:hAnsi="Arial" w:cs="Arial"/>
          <w:sz w:val="24"/>
          <w:szCs w:val="24"/>
        </w:rPr>
        <w:t xml:space="preserve">ainable form of development, </w:t>
      </w:r>
      <w:r>
        <w:rPr>
          <w:rFonts w:ascii="Arial" w:hAnsi="Arial" w:cs="Arial"/>
          <w:sz w:val="24"/>
          <w:szCs w:val="24"/>
        </w:rPr>
        <w:t>encouraging more ho</w:t>
      </w:r>
      <w:r w:rsidR="007F13CC">
        <w:rPr>
          <w:rFonts w:ascii="Arial" w:hAnsi="Arial" w:cs="Arial"/>
          <w:sz w:val="24"/>
          <w:szCs w:val="24"/>
        </w:rPr>
        <w:t>u</w:t>
      </w:r>
      <w:r>
        <w:rPr>
          <w:rFonts w:ascii="Arial" w:hAnsi="Arial" w:cs="Arial"/>
          <w:sz w:val="24"/>
          <w:szCs w:val="24"/>
        </w:rPr>
        <w:t>sing</w:t>
      </w:r>
      <w:r w:rsidR="007F13CC">
        <w:rPr>
          <w:rFonts w:ascii="Arial" w:hAnsi="Arial" w:cs="Arial"/>
          <w:sz w:val="24"/>
          <w:szCs w:val="24"/>
        </w:rPr>
        <w:t xml:space="preserve"> within existing urban areas, encouraging good design and achieving balanced communities. </w:t>
      </w:r>
    </w:p>
    <w:p w:rsidR="00C521FB" w:rsidRDefault="00C521FB" w:rsidP="00C92D8D">
      <w:pPr>
        <w:spacing w:line="240" w:lineRule="auto"/>
        <w:ind w:left="720" w:hanging="720"/>
        <w:jc w:val="both"/>
        <w:rPr>
          <w:rFonts w:ascii="Arial" w:hAnsi="Arial" w:cs="Arial"/>
          <w:sz w:val="24"/>
          <w:szCs w:val="24"/>
        </w:rPr>
      </w:pPr>
      <w:r w:rsidRPr="00CF20DD">
        <w:rPr>
          <w:rFonts w:ascii="Arial" w:hAnsi="Arial" w:cs="Arial"/>
          <w:sz w:val="24"/>
          <w:szCs w:val="24"/>
        </w:rPr>
        <w:t>2.7</w:t>
      </w:r>
      <w:r>
        <w:rPr>
          <w:rFonts w:ascii="Arial" w:hAnsi="Arial" w:cs="Arial"/>
          <w:b/>
          <w:sz w:val="24"/>
          <w:szCs w:val="24"/>
        </w:rPr>
        <w:tab/>
      </w:r>
      <w:r w:rsidR="00106C39">
        <w:rPr>
          <w:rFonts w:ascii="Arial" w:hAnsi="Arial" w:cs="Arial"/>
          <w:sz w:val="24"/>
          <w:szCs w:val="24"/>
        </w:rPr>
        <w:t xml:space="preserve">When allocating land for housing developments, the SPPS </w:t>
      </w:r>
      <w:r w:rsidR="000276F6">
        <w:rPr>
          <w:rFonts w:ascii="Arial" w:hAnsi="Arial" w:cs="Arial"/>
          <w:sz w:val="24"/>
          <w:szCs w:val="24"/>
        </w:rPr>
        <w:t>advises that LDPs should be informed by</w:t>
      </w:r>
      <w:r w:rsidR="00106C39">
        <w:rPr>
          <w:rFonts w:ascii="Arial" w:hAnsi="Arial" w:cs="Arial"/>
          <w:sz w:val="24"/>
          <w:szCs w:val="24"/>
        </w:rPr>
        <w:t>:-</w:t>
      </w:r>
    </w:p>
    <w:p w:rsidR="00106C39" w:rsidRDefault="006F3178" w:rsidP="00106C39">
      <w:pPr>
        <w:pStyle w:val="ListParagraph"/>
        <w:numPr>
          <w:ilvl w:val="0"/>
          <w:numId w:val="10"/>
        </w:numPr>
        <w:spacing w:line="240" w:lineRule="auto"/>
        <w:jc w:val="both"/>
        <w:rPr>
          <w:rFonts w:ascii="Arial" w:hAnsi="Arial" w:cs="Arial"/>
          <w:sz w:val="24"/>
          <w:szCs w:val="24"/>
        </w:rPr>
      </w:pPr>
      <w:r>
        <w:rPr>
          <w:rFonts w:ascii="Arial" w:hAnsi="Arial" w:cs="Arial"/>
          <w:sz w:val="24"/>
          <w:szCs w:val="24"/>
        </w:rPr>
        <w:t xml:space="preserve">The </w:t>
      </w:r>
      <w:r w:rsidR="000276F6">
        <w:rPr>
          <w:rFonts w:ascii="Arial" w:hAnsi="Arial" w:cs="Arial"/>
          <w:sz w:val="24"/>
          <w:szCs w:val="24"/>
        </w:rPr>
        <w:t xml:space="preserve">RDS </w:t>
      </w:r>
      <w:r w:rsidR="00106C39">
        <w:rPr>
          <w:rFonts w:ascii="Arial" w:hAnsi="Arial" w:cs="Arial"/>
          <w:sz w:val="24"/>
          <w:szCs w:val="24"/>
        </w:rPr>
        <w:t>Housing Growth Indicators (HGIs)</w:t>
      </w:r>
    </w:p>
    <w:p w:rsidR="007E6895" w:rsidRDefault="00106C39" w:rsidP="00ED45F4">
      <w:pPr>
        <w:pStyle w:val="ListParagraph"/>
        <w:numPr>
          <w:ilvl w:val="0"/>
          <w:numId w:val="10"/>
        </w:numPr>
        <w:spacing w:line="240" w:lineRule="auto"/>
        <w:jc w:val="both"/>
        <w:rPr>
          <w:rFonts w:ascii="Arial" w:hAnsi="Arial" w:cs="Arial"/>
          <w:sz w:val="24"/>
          <w:szCs w:val="24"/>
        </w:rPr>
      </w:pPr>
      <w:r w:rsidRPr="007E6895">
        <w:rPr>
          <w:rFonts w:ascii="Arial" w:hAnsi="Arial" w:cs="Arial"/>
          <w:sz w:val="24"/>
          <w:szCs w:val="24"/>
        </w:rPr>
        <w:t xml:space="preserve">The </w:t>
      </w:r>
      <w:r w:rsidR="000276F6" w:rsidRPr="007E6895">
        <w:rPr>
          <w:rFonts w:ascii="Arial" w:hAnsi="Arial" w:cs="Arial"/>
          <w:sz w:val="24"/>
          <w:szCs w:val="24"/>
        </w:rPr>
        <w:t xml:space="preserve">RDS </w:t>
      </w:r>
      <w:r w:rsidRPr="007E6895">
        <w:rPr>
          <w:rFonts w:ascii="Arial" w:hAnsi="Arial" w:cs="Arial"/>
          <w:sz w:val="24"/>
          <w:szCs w:val="24"/>
        </w:rPr>
        <w:t>housing evaluation fr</w:t>
      </w:r>
      <w:r w:rsidR="000276F6" w:rsidRPr="007E6895">
        <w:rPr>
          <w:rFonts w:ascii="Arial" w:hAnsi="Arial" w:cs="Arial"/>
          <w:sz w:val="24"/>
          <w:szCs w:val="24"/>
        </w:rPr>
        <w:t xml:space="preserve">amework </w:t>
      </w:r>
      <w:r w:rsidR="007E6895">
        <w:rPr>
          <w:rFonts w:ascii="Arial" w:hAnsi="Arial" w:cs="Arial"/>
          <w:sz w:val="24"/>
          <w:szCs w:val="24"/>
        </w:rPr>
        <w:t>–</w:t>
      </w:r>
      <w:r w:rsidR="000276F6" w:rsidRPr="007E6895">
        <w:rPr>
          <w:rFonts w:ascii="Arial" w:hAnsi="Arial" w:cs="Arial"/>
          <w:sz w:val="24"/>
          <w:szCs w:val="24"/>
        </w:rPr>
        <w:t xml:space="preserve"> </w:t>
      </w:r>
      <w:r w:rsidR="007E6895">
        <w:rPr>
          <w:rFonts w:ascii="Arial" w:hAnsi="Arial" w:cs="Arial"/>
          <w:sz w:val="24"/>
          <w:szCs w:val="24"/>
        </w:rPr>
        <w:t>which takes account of the varying capacities of settlements and will assist councils in making judgements on the allocation of housing growth</w:t>
      </w:r>
    </w:p>
    <w:p w:rsidR="00106C39" w:rsidRPr="007E6895" w:rsidRDefault="00106C39" w:rsidP="00ED45F4">
      <w:pPr>
        <w:pStyle w:val="ListParagraph"/>
        <w:numPr>
          <w:ilvl w:val="0"/>
          <w:numId w:val="10"/>
        </w:numPr>
        <w:spacing w:line="240" w:lineRule="auto"/>
        <w:jc w:val="both"/>
        <w:rPr>
          <w:rFonts w:ascii="Arial" w:hAnsi="Arial" w:cs="Arial"/>
          <w:sz w:val="24"/>
          <w:szCs w:val="24"/>
        </w:rPr>
      </w:pPr>
      <w:r w:rsidRPr="007E6895">
        <w:rPr>
          <w:rFonts w:ascii="Arial" w:hAnsi="Arial" w:cs="Arial"/>
          <w:sz w:val="24"/>
          <w:szCs w:val="24"/>
        </w:rPr>
        <w:t>Allowance for existing housing commitment</w:t>
      </w:r>
      <w:r w:rsidR="007E6895">
        <w:rPr>
          <w:rFonts w:ascii="Arial" w:hAnsi="Arial" w:cs="Arial"/>
          <w:sz w:val="24"/>
          <w:szCs w:val="24"/>
        </w:rPr>
        <w:t>s i.e. dwellings already constructed, approvals not yet commenced and residential development proposals likely to be approved</w:t>
      </w:r>
      <w:r w:rsidRPr="007E6895">
        <w:rPr>
          <w:rFonts w:ascii="Arial" w:hAnsi="Arial" w:cs="Arial"/>
          <w:sz w:val="24"/>
          <w:szCs w:val="24"/>
        </w:rPr>
        <w:t>.</w:t>
      </w:r>
    </w:p>
    <w:p w:rsidR="00106C39" w:rsidRDefault="00106C39" w:rsidP="00106C39">
      <w:pPr>
        <w:pStyle w:val="ListParagraph"/>
        <w:numPr>
          <w:ilvl w:val="0"/>
          <w:numId w:val="10"/>
        </w:numPr>
        <w:spacing w:line="240" w:lineRule="auto"/>
        <w:jc w:val="both"/>
        <w:rPr>
          <w:rFonts w:ascii="Arial" w:hAnsi="Arial" w:cs="Arial"/>
          <w:sz w:val="24"/>
          <w:szCs w:val="24"/>
        </w:rPr>
      </w:pPr>
      <w:r>
        <w:rPr>
          <w:rFonts w:ascii="Arial" w:hAnsi="Arial" w:cs="Arial"/>
          <w:sz w:val="24"/>
          <w:szCs w:val="24"/>
        </w:rPr>
        <w:t>Housing Needs Assessment (HNA) which should be devised to provide an evidence base for the allocation of land to meet specific types of housing needs such as affordable housing, social housing, supported housing or traveller accommodation.</w:t>
      </w:r>
    </w:p>
    <w:p w:rsidR="00106C39" w:rsidRDefault="00106C39" w:rsidP="00106C39">
      <w:pPr>
        <w:pStyle w:val="ListParagraph"/>
        <w:numPr>
          <w:ilvl w:val="0"/>
          <w:numId w:val="10"/>
        </w:numPr>
        <w:spacing w:line="240" w:lineRule="auto"/>
        <w:jc w:val="both"/>
        <w:rPr>
          <w:rFonts w:ascii="Arial" w:hAnsi="Arial" w:cs="Arial"/>
          <w:sz w:val="24"/>
          <w:szCs w:val="24"/>
        </w:rPr>
      </w:pPr>
      <w:r>
        <w:rPr>
          <w:rFonts w:ascii="Arial" w:hAnsi="Arial" w:cs="Arial"/>
          <w:sz w:val="24"/>
          <w:szCs w:val="24"/>
        </w:rPr>
        <w:t>Urban Capacity Studies – an assessment of the potential of brownfield sites to provide housing land, the availability of infill sites and the potential to reuse existing urban buildings.</w:t>
      </w:r>
    </w:p>
    <w:p w:rsidR="00106C39" w:rsidRDefault="00106C39" w:rsidP="00106C39">
      <w:pPr>
        <w:pStyle w:val="ListParagraph"/>
        <w:numPr>
          <w:ilvl w:val="0"/>
          <w:numId w:val="10"/>
        </w:numPr>
        <w:spacing w:line="240" w:lineRule="auto"/>
        <w:jc w:val="both"/>
        <w:rPr>
          <w:rFonts w:ascii="Arial" w:hAnsi="Arial" w:cs="Arial"/>
          <w:sz w:val="24"/>
          <w:szCs w:val="24"/>
        </w:rPr>
      </w:pPr>
      <w:r>
        <w:rPr>
          <w:rFonts w:ascii="Arial" w:hAnsi="Arial" w:cs="Arial"/>
          <w:sz w:val="24"/>
          <w:szCs w:val="24"/>
        </w:rPr>
        <w:t xml:space="preserve">Windfall housing i.e. housing sites </w:t>
      </w:r>
      <w:r w:rsidR="007E6895">
        <w:rPr>
          <w:rFonts w:ascii="Arial" w:hAnsi="Arial" w:cs="Arial"/>
          <w:sz w:val="24"/>
          <w:szCs w:val="24"/>
        </w:rPr>
        <w:t>from previously developed land within the urban footprint which may</w:t>
      </w:r>
      <w:r>
        <w:rPr>
          <w:rFonts w:ascii="Arial" w:hAnsi="Arial" w:cs="Arial"/>
          <w:sz w:val="24"/>
          <w:szCs w:val="24"/>
        </w:rPr>
        <w:t xml:space="preserve"> become available dur</w:t>
      </w:r>
      <w:r w:rsidR="007E6895">
        <w:rPr>
          <w:rFonts w:ascii="Arial" w:hAnsi="Arial" w:cs="Arial"/>
          <w:sz w:val="24"/>
          <w:szCs w:val="24"/>
        </w:rPr>
        <w:t>ing the lifespan of the</w:t>
      </w:r>
      <w:r>
        <w:rPr>
          <w:rFonts w:ascii="Arial" w:hAnsi="Arial" w:cs="Arial"/>
          <w:sz w:val="24"/>
          <w:szCs w:val="24"/>
        </w:rPr>
        <w:t xml:space="preserve"> development plan.</w:t>
      </w:r>
    </w:p>
    <w:p w:rsidR="007E6895" w:rsidRDefault="007E6895" w:rsidP="00106C39">
      <w:pPr>
        <w:pStyle w:val="ListParagraph"/>
        <w:numPr>
          <w:ilvl w:val="0"/>
          <w:numId w:val="10"/>
        </w:numPr>
        <w:spacing w:line="240" w:lineRule="auto"/>
        <w:jc w:val="both"/>
        <w:rPr>
          <w:rFonts w:ascii="Arial" w:hAnsi="Arial" w:cs="Arial"/>
          <w:sz w:val="24"/>
          <w:szCs w:val="24"/>
        </w:rPr>
      </w:pPr>
      <w:r>
        <w:rPr>
          <w:rFonts w:ascii="Arial" w:hAnsi="Arial" w:cs="Arial"/>
          <w:sz w:val="24"/>
          <w:szCs w:val="24"/>
        </w:rPr>
        <w:t>Application of a sequential approach and identification of suitable sites for settlement of over 5,000 population.</w:t>
      </w:r>
    </w:p>
    <w:p w:rsidR="007E6895" w:rsidRDefault="007F13CC" w:rsidP="00106C39">
      <w:pPr>
        <w:pStyle w:val="ListParagraph"/>
        <w:numPr>
          <w:ilvl w:val="0"/>
          <w:numId w:val="10"/>
        </w:numPr>
        <w:spacing w:line="240" w:lineRule="auto"/>
        <w:jc w:val="both"/>
        <w:rPr>
          <w:rFonts w:ascii="Arial" w:hAnsi="Arial" w:cs="Arial"/>
          <w:sz w:val="24"/>
          <w:szCs w:val="24"/>
        </w:rPr>
      </w:pPr>
      <w:r>
        <w:rPr>
          <w:rFonts w:ascii="Arial" w:hAnsi="Arial" w:cs="Arial"/>
          <w:sz w:val="24"/>
          <w:szCs w:val="24"/>
        </w:rPr>
        <w:t>Housing Needs Assessment/Housing Market Analysis (HNA/HMA) – provides an evidence base of land required to facilitate the right mix of housing tenures including open market and special housing needs.</w:t>
      </w:r>
    </w:p>
    <w:p w:rsidR="007F13CC" w:rsidRDefault="007F13CC" w:rsidP="00106C39">
      <w:pPr>
        <w:pStyle w:val="ListParagraph"/>
        <w:numPr>
          <w:ilvl w:val="0"/>
          <w:numId w:val="10"/>
        </w:numPr>
        <w:spacing w:line="240" w:lineRule="auto"/>
        <w:jc w:val="both"/>
        <w:rPr>
          <w:rFonts w:ascii="Arial" w:hAnsi="Arial" w:cs="Arial"/>
          <w:sz w:val="24"/>
          <w:szCs w:val="24"/>
        </w:rPr>
      </w:pPr>
      <w:r>
        <w:rPr>
          <w:rFonts w:ascii="Arial" w:hAnsi="Arial" w:cs="Arial"/>
          <w:sz w:val="24"/>
          <w:szCs w:val="24"/>
        </w:rPr>
        <w:t>Transport Assessments – these may be required for certain sites for residential use to achieve integration with public transport and other alternatives to the car.</w:t>
      </w:r>
    </w:p>
    <w:p w:rsidR="00106C39" w:rsidRDefault="00106C39" w:rsidP="00106C39">
      <w:pPr>
        <w:pStyle w:val="ListParagraph"/>
        <w:spacing w:line="240" w:lineRule="auto"/>
        <w:ind w:left="1440"/>
        <w:jc w:val="both"/>
        <w:rPr>
          <w:rFonts w:ascii="Arial" w:hAnsi="Arial" w:cs="Arial"/>
          <w:sz w:val="24"/>
          <w:szCs w:val="24"/>
        </w:rPr>
      </w:pPr>
    </w:p>
    <w:p w:rsidR="00106C39" w:rsidRDefault="00106C39" w:rsidP="007F13CC">
      <w:pPr>
        <w:spacing w:line="240" w:lineRule="auto"/>
        <w:ind w:left="720" w:hanging="720"/>
        <w:jc w:val="both"/>
        <w:rPr>
          <w:rFonts w:ascii="Arial" w:hAnsi="Arial" w:cs="Arial"/>
          <w:sz w:val="24"/>
          <w:szCs w:val="24"/>
        </w:rPr>
      </w:pPr>
      <w:r w:rsidRPr="00CF20DD">
        <w:rPr>
          <w:rFonts w:ascii="Arial" w:hAnsi="Arial" w:cs="Arial"/>
          <w:sz w:val="24"/>
          <w:szCs w:val="24"/>
        </w:rPr>
        <w:t>2.8</w:t>
      </w:r>
      <w:r>
        <w:rPr>
          <w:rFonts w:ascii="Arial" w:hAnsi="Arial" w:cs="Arial"/>
          <w:b/>
          <w:sz w:val="24"/>
          <w:szCs w:val="24"/>
        </w:rPr>
        <w:tab/>
      </w:r>
      <w:r w:rsidRPr="00106C39">
        <w:rPr>
          <w:rFonts w:ascii="Arial" w:hAnsi="Arial" w:cs="Arial"/>
          <w:sz w:val="24"/>
          <w:szCs w:val="24"/>
        </w:rPr>
        <w:t>In keeping with the SPPS, Local Development Plans (LDPs)</w:t>
      </w:r>
      <w:r w:rsidR="007920C7">
        <w:rPr>
          <w:rFonts w:ascii="Arial" w:hAnsi="Arial" w:cs="Arial"/>
          <w:sz w:val="24"/>
          <w:szCs w:val="24"/>
        </w:rPr>
        <w:t xml:space="preserve"> should</w:t>
      </w:r>
      <w:r w:rsidR="00257F68">
        <w:rPr>
          <w:rFonts w:ascii="Arial" w:hAnsi="Arial" w:cs="Arial"/>
          <w:sz w:val="24"/>
          <w:szCs w:val="24"/>
        </w:rPr>
        <w:t xml:space="preserve"> contain a number of measures, including</w:t>
      </w:r>
      <w:r w:rsidR="007920C7">
        <w:rPr>
          <w:rFonts w:ascii="Arial" w:hAnsi="Arial" w:cs="Arial"/>
          <w:sz w:val="24"/>
          <w:szCs w:val="24"/>
        </w:rPr>
        <w:t>:</w:t>
      </w:r>
    </w:p>
    <w:p w:rsidR="007920C7" w:rsidRDefault="007920C7" w:rsidP="007920C7">
      <w:pPr>
        <w:pStyle w:val="ListParagraph"/>
        <w:numPr>
          <w:ilvl w:val="0"/>
          <w:numId w:val="11"/>
        </w:numPr>
        <w:spacing w:line="240" w:lineRule="auto"/>
        <w:jc w:val="both"/>
        <w:rPr>
          <w:rFonts w:ascii="Arial" w:hAnsi="Arial" w:cs="Arial"/>
          <w:sz w:val="24"/>
          <w:szCs w:val="24"/>
        </w:rPr>
      </w:pPr>
      <w:r>
        <w:rPr>
          <w:rFonts w:ascii="Arial" w:hAnsi="Arial" w:cs="Arial"/>
          <w:sz w:val="24"/>
          <w:szCs w:val="24"/>
        </w:rPr>
        <w:t>Set out the overall housing provision for each settlement.</w:t>
      </w:r>
    </w:p>
    <w:p w:rsidR="007920C7" w:rsidRDefault="007920C7" w:rsidP="007920C7">
      <w:pPr>
        <w:pStyle w:val="ListParagraph"/>
        <w:numPr>
          <w:ilvl w:val="0"/>
          <w:numId w:val="11"/>
        </w:numPr>
        <w:spacing w:line="240" w:lineRule="auto"/>
        <w:jc w:val="both"/>
        <w:rPr>
          <w:rFonts w:ascii="Arial" w:hAnsi="Arial" w:cs="Arial"/>
          <w:sz w:val="24"/>
          <w:szCs w:val="24"/>
        </w:rPr>
      </w:pPr>
      <w:r>
        <w:rPr>
          <w:rFonts w:ascii="Arial" w:hAnsi="Arial" w:cs="Arial"/>
          <w:sz w:val="24"/>
          <w:szCs w:val="24"/>
        </w:rPr>
        <w:t>Zone sites for housing in larger settlements which are sufficient to meet the identified need and identify sites in smaller settlements where it anticipated that most new housing will be located. In the latter case, this will be done through Housing Policy Areas (HPAs).</w:t>
      </w:r>
    </w:p>
    <w:p w:rsidR="007920C7" w:rsidRDefault="007920C7" w:rsidP="007920C7">
      <w:pPr>
        <w:pStyle w:val="ListParagraph"/>
        <w:numPr>
          <w:ilvl w:val="0"/>
          <w:numId w:val="11"/>
        </w:numPr>
        <w:spacing w:line="240" w:lineRule="auto"/>
        <w:jc w:val="both"/>
        <w:rPr>
          <w:rFonts w:ascii="Arial" w:hAnsi="Arial" w:cs="Arial"/>
          <w:sz w:val="24"/>
          <w:szCs w:val="24"/>
        </w:rPr>
      </w:pPr>
      <w:r>
        <w:rPr>
          <w:rFonts w:ascii="Arial" w:hAnsi="Arial" w:cs="Arial"/>
          <w:sz w:val="24"/>
          <w:szCs w:val="24"/>
        </w:rPr>
        <w:t>Set density levels for housing sites appropriate to the scale and location of the character of the area.</w:t>
      </w:r>
    </w:p>
    <w:p w:rsidR="007920C7" w:rsidRDefault="007920C7" w:rsidP="007920C7">
      <w:pPr>
        <w:pStyle w:val="ListParagraph"/>
        <w:numPr>
          <w:ilvl w:val="0"/>
          <w:numId w:val="11"/>
        </w:numPr>
        <w:spacing w:line="240" w:lineRule="auto"/>
        <w:jc w:val="both"/>
        <w:rPr>
          <w:rFonts w:ascii="Arial" w:hAnsi="Arial" w:cs="Arial"/>
          <w:sz w:val="24"/>
          <w:szCs w:val="24"/>
        </w:rPr>
      </w:pPr>
      <w:r>
        <w:rPr>
          <w:rFonts w:ascii="Arial" w:hAnsi="Arial" w:cs="Arial"/>
          <w:sz w:val="24"/>
          <w:szCs w:val="24"/>
        </w:rPr>
        <w:t>Identify settlements where the HNA has found an affordability pressure.</w:t>
      </w:r>
    </w:p>
    <w:p w:rsidR="007920C7" w:rsidRDefault="007920C7" w:rsidP="007920C7">
      <w:pPr>
        <w:pStyle w:val="ListParagraph"/>
        <w:numPr>
          <w:ilvl w:val="0"/>
          <w:numId w:val="11"/>
        </w:numPr>
        <w:spacing w:line="240" w:lineRule="auto"/>
        <w:jc w:val="both"/>
        <w:rPr>
          <w:rFonts w:ascii="Arial" w:hAnsi="Arial" w:cs="Arial"/>
          <w:sz w:val="24"/>
          <w:szCs w:val="24"/>
        </w:rPr>
      </w:pPr>
      <w:r>
        <w:rPr>
          <w:rFonts w:ascii="Arial" w:hAnsi="Arial" w:cs="Arial"/>
          <w:sz w:val="24"/>
          <w:szCs w:val="24"/>
        </w:rPr>
        <w:t>Zone land</w:t>
      </w:r>
      <w:r w:rsidR="007F13CC">
        <w:rPr>
          <w:rFonts w:ascii="Arial" w:hAnsi="Arial" w:cs="Arial"/>
          <w:sz w:val="24"/>
          <w:szCs w:val="24"/>
        </w:rPr>
        <w:t xml:space="preserve"> or include policy, as appropriate,</w:t>
      </w:r>
      <w:r>
        <w:rPr>
          <w:rFonts w:ascii="Arial" w:hAnsi="Arial" w:cs="Arial"/>
          <w:sz w:val="24"/>
          <w:szCs w:val="24"/>
        </w:rPr>
        <w:t xml:space="preserve"> to reflect the needs arising fr</w:t>
      </w:r>
      <w:r w:rsidR="005A3342">
        <w:rPr>
          <w:rFonts w:ascii="Arial" w:hAnsi="Arial" w:cs="Arial"/>
          <w:sz w:val="24"/>
          <w:szCs w:val="24"/>
        </w:rPr>
        <w:t xml:space="preserve">om the demand for second homes </w:t>
      </w:r>
      <w:r>
        <w:rPr>
          <w:rFonts w:ascii="Arial" w:hAnsi="Arial" w:cs="Arial"/>
          <w:sz w:val="24"/>
          <w:szCs w:val="24"/>
        </w:rPr>
        <w:t>(This is not as pressing an issue in Fermanagh and Omagh as in other parts of the country).</w:t>
      </w:r>
    </w:p>
    <w:p w:rsidR="00257F68" w:rsidRDefault="007920C7" w:rsidP="007920C7">
      <w:pPr>
        <w:spacing w:line="240" w:lineRule="auto"/>
        <w:ind w:left="720" w:hanging="720"/>
        <w:jc w:val="both"/>
        <w:rPr>
          <w:rFonts w:ascii="Arial" w:hAnsi="Arial" w:cs="Arial"/>
          <w:sz w:val="24"/>
          <w:szCs w:val="24"/>
        </w:rPr>
      </w:pPr>
      <w:r w:rsidRPr="00CF20DD">
        <w:rPr>
          <w:rFonts w:ascii="Arial" w:hAnsi="Arial" w:cs="Arial"/>
          <w:sz w:val="24"/>
          <w:szCs w:val="24"/>
        </w:rPr>
        <w:t>2.9</w:t>
      </w:r>
      <w:r w:rsidRPr="007920C7">
        <w:rPr>
          <w:rFonts w:ascii="Arial" w:hAnsi="Arial" w:cs="Arial"/>
          <w:b/>
          <w:sz w:val="24"/>
          <w:szCs w:val="24"/>
        </w:rPr>
        <w:tab/>
      </w:r>
      <w:r w:rsidR="005A3342" w:rsidRPr="005A3342">
        <w:rPr>
          <w:rFonts w:ascii="Arial" w:hAnsi="Arial" w:cs="Arial"/>
          <w:sz w:val="24"/>
          <w:szCs w:val="24"/>
        </w:rPr>
        <w:t>It should be noted that</w:t>
      </w:r>
      <w:r w:rsidR="005A3342">
        <w:rPr>
          <w:rFonts w:ascii="Arial" w:hAnsi="Arial" w:cs="Arial"/>
          <w:b/>
          <w:sz w:val="24"/>
          <w:szCs w:val="24"/>
        </w:rPr>
        <w:t xml:space="preserve"> </w:t>
      </w:r>
      <w:r w:rsidR="005A3342">
        <w:rPr>
          <w:rFonts w:ascii="Arial" w:hAnsi="Arial" w:cs="Arial"/>
          <w:sz w:val="24"/>
          <w:szCs w:val="24"/>
        </w:rPr>
        <w:t xml:space="preserve">the </w:t>
      </w:r>
      <w:r>
        <w:rPr>
          <w:rFonts w:ascii="Arial" w:hAnsi="Arial" w:cs="Arial"/>
          <w:sz w:val="24"/>
          <w:szCs w:val="24"/>
        </w:rPr>
        <w:t xml:space="preserve">SPPS </w:t>
      </w:r>
      <w:r w:rsidR="005A3342">
        <w:rPr>
          <w:rFonts w:ascii="Arial" w:hAnsi="Arial" w:cs="Arial"/>
          <w:sz w:val="24"/>
          <w:szCs w:val="24"/>
        </w:rPr>
        <w:t xml:space="preserve">has removed all reference to the designation known </w:t>
      </w:r>
      <w:r>
        <w:rPr>
          <w:rFonts w:ascii="Arial" w:hAnsi="Arial" w:cs="Arial"/>
          <w:sz w:val="24"/>
          <w:szCs w:val="24"/>
        </w:rPr>
        <w:t>as Dispersed</w:t>
      </w:r>
      <w:r w:rsidR="00685ADB">
        <w:rPr>
          <w:rFonts w:ascii="Arial" w:hAnsi="Arial" w:cs="Arial"/>
          <w:sz w:val="24"/>
          <w:szCs w:val="24"/>
        </w:rPr>
        <w:t xml:space="preserve"> Rural Communities (DRC</w:t>
      </w:r>
      <w:r>
        <w:rPr>
          <w:rFonts w:ascii="Arial" w:hAnsi="Arial" w:cs="Arial"/>
          <w:sz w:val="24"/>
          <w:szCs w:val="24"/>
        </w:rPr>
        <w:t>s)</w:t>
      </w:r>
      <w:r w:rsidR="00685ADB">
        <w:rPr>
          <w:rFonts w:ascii="Arial" w:hAnsi="Arial" w:cs="Arial"/>
          <w:sz w:val="24"/>
          <w:szCs w:val="24"/>
        </w:rPr>
        <w:t xml:space="preserve"> which</w:t>
      </w:r>
      <w:r w:rsidR="005A3342">
        <w:rPr>
          <w:rFonts w:ascii="Arial" w:hAnsi="Arial" w:cs="Arial"/>
          <w:sz w:val="24"/>
          <w:szCs w:val="24"/>
        </w:rPr>
        <w:t xml:space="preserve"> currently exist in PPS 21. </w:t>
      </w:r>
      <w:r w:rsidR="00685ADB">
        <w:rPr>
          <w:rFonts w:ascii="Arial" w:hAnsi="Arial" w:cs="Arial"/>
          <w:sz w:val="24"/>
          <w:szCs w:val="24"/>
        </w:rPr>
        <w:t xml:space="preserve"> </w:t>
      </w:r>
      <w:r w:rsidR="005A3342">
        <w:rPr>
          <w:rFonts w:ascii="Arial" w:hAnsi="Arial" w:cs="Arial"/>
          <w:sz w:val="24"/>
          <w:szCs w:val="24"/>
        </w:rPr>
        <w:t xml:space="preserve">However, their removal should not preclude the Council considering their inclusion in the LDP as they could provide locations for rural housing where the normal controls could be eased to allow for sympathetic housing development of a scale and density which will not affect the character of the locality. </w:t>
      </w:r>
      <w:r w:rsidR="00257F68">
        <w:rPr>
          <w:rFonts w:ascii="Arial" w:hAnsi="Arial" w:cs="Arial"/>
          <w:sz w:val="24"/>
          <w:szCs w:val="24"/>
        </w:rPr>
        <w:t>Suggested c</w:t>
      </w:r>
      <w:r w:rsidR="005A3342">
        <w:rPr>
          <w:rFonts w:ascii="Arial" w:hAnsi="Arial" w:cs="Arial"/>
          <w:sz w:val="24"/>
          <w:szCs w:val="24"/>
        </w:rPr>
        <w:t>rit</w:t>
      </w:r>
      <w:r w:rsidR="00257F68">
        <w:rPr>
          <w:rFonts w:ascii="Arial" w:hAnsi="Arial" w:cs="Arial"/>
          <w:sz w:val="24"/>
          <w:szCs w:val="24"/>
        </w:rPr>
        <w:t>eria for their designation may</w:t>
      </w:r>
      <w:r w:rsidR="005A3342">
        <w:rPr>
          <w:rFonts w:ascii="Arial" w:hAnsi="Arial" w:cs="Arial"/>
          <w:sz w:val="24"/>
          <w:szCs w:val="24"/>
        </w:rPr>
        <w:t xml:space="preserve"> include </w:t>
      </w:r>
      <w:r w:rsidR="00685ADB">
        <w:rPr>
          <w:rFonts w:ascii="Arial" w:hAnsi="Arial" w:cs="Arial"/>
          <w:sz w:val="24"/>
          <w:szCs w:val="24"/>
        </w:rPr>
        <w:t>evidence of community activity associated with a focal point such as a church, local hall</w:t>
      </w:r>
      <w:r w:rsidR="005A3342">
        <w:rPr>
          <w:rFonts w:ascii="Arial" w:hAnsi="Arial" w:cs="Arial"/>
          <w:sz w:val="24"/>
          <w:szCs w:val="24"/>
        </w:rPr>
        <w:t>, sports club, public house etc</w:t>
      </w:r>
      <w:r w:rsidR="00685ADB">
        <w:rPr>
          <w:rFonts w:ascii="Arial" w:hAnsi="Arial" w:cs="Arial"/>
          <w:sz w:val="24"/>
          <w:szCs w:val="24"/>
        </w:rPr>
        <w:t>. In other rural areas, the council could bring forward at local plans stage, policies which state what kind of housing development will be permissible in rural areas e.g. infill sites, reuse of existing buildings or replacement dwellings.</w:t>
      </w:r>
    </w:p>
    <w:p w:rsidR="00257F68" w:rsidRDefault="00257F68" w:rsidP="007920C7">
      <w:pPr>
        <w:spacing w:line="240" w:lineRule="auto"/>
        <w:ind w:left="720" w:hanging="720"/>
        <w:jc w:val="both"/>
        <w:rPr>
          <w:rFonts w:ascii="Arial" w:hAnsi="Arial" w:cs="Arial"/>
          <w:sz w:val="24"/>
          <w:szCs w:val="24"/>
        </w:rPr>
      </w:pPr>
    </w:p>
    <w:p w:rsidR="00685ADB" w:rsidRDefault="00685ADB" w:rsidP="007920C7">
      <w:pPr>
        <w:spacing w:line="240" w:lineRule="auto"/>
        <w:ind w:left="720" w:hanging="720"/>
        <w:jc w:val="both"/>
        <w:rPr>
          <w:rFonts w:ascii="Arial" w:hAnsi="Arial" w:cs="Arial"/>
          <w:sz w:val="24"/>
          <w:szCs w:val="24"/>
        </w:rPr>
      </w:pPr>
      <w:r>
        <w:rPr>
          <w:rFonts w:ascii="Arial" w:hAnsi="Arial" w:cs="Arial"/>
          <w:b/>
          <w:sz w:val="24"/>
          <w:szCs w:val="24"/>
        </w:rPr>
        <w:tab/>
        <w:t>c) Planning Policy Statement 12 (PPS 12) - Housing in Settlements</w:t>
      </w:r>
    </w:p>
    <w:p w:rsidR="00685ADB" w:rsidRDefault="00685ADB" w:rsidP="007920C7">
      <w:pPr>
        <w:spacing w:line="240" w:lineRule="auto"/>
        <w:ind w:left="720" w:hanging="720"/>
        <w:jc w:val="both"/>
        <w:rPr>
          <w:rFonts w:ascii="Arial" w:hAnsi="Arial" w:cs="Arial"/>
          <w:sz w:val="24"/>
          <w:szCs w:val="24"/>
        </w:rPr>
      </w:pPr>
      <w:r w:rsidRPr="00CF20DD">
        <w:rPr>
          <w:rFonts w:ascii="Arial" w:hAnsi="Arial" w:cs="Arial"/>
          <w:sz w:val="24"/>
          <w:szCs w:val="24"/>
        </w:rPr>
        <w:t>2.10</w:t>
      </w:r>
      <w:r>
        <w:rPr>
          <w:rFonts w:ascii="Arial" w:hAnsi="Arial" w:cs="Arial"/>
          <w:b/>
          <w:sz w:val="24"/>
          <w:szCs w:val="24"/>
        </w:rPr>
        <w:tab/>
      </w:r>
      <w:r w:rsidR="007A714E">
        <w:rPr>
          <w:rFonts w:ascii="Arial" w:hAnsi="Arial" w:cs="Arial"/>
          <w:sz w:val="24"/>
          <w:szCs w:val="24"/>
        </w:rPr>
        <w:t>PPS 12 rein</w:t>
      </w:r>
      <w:r w:rsidR="007F13CC">
        <w:rPr>
          <w:rFonts w:ascii="Arial" w:hAnsi="Arial" w:cs="Arial"/>
          <w:sz w:val="24"/>
          <w:szCs w:val="24"/>
        </w:rPr>
        <w:t>forces the policy aims of the S</w:t>
      </w:r>
      <w:r w:rsidR="007A714E">
        <w:rPr>
          <w:rFonts w:ascii="Arial" w:hAnsi="Arial" w:cs="Arial"/>
          <w:sz w:val="24"/>
          <w:szCs w:val="24"/>
        </w:rPr>
        <w:t>PPS in that some of its policy objectives are to:</w:t>
      </w:r>
    </w:p>
    <w:p w:rsidR="007A714E" w:rsidRDefault="007A714E" w:rsidP="007A714E">
      <w:pPr>
        <w:pStyle w:val="ListParagraph"/>
        <w:numPr>
          <w:ilvl w:val="0"/>
          <w:numId w:val="12"/>
        </w:numPr>
        <w:spacing w:line="240" w:lineRule="auto"/>
        <w:jc w:val="both"/>
        <w:rPr>
          <w:rFonts w:ascii="Arial" w:hAnsi="Arial" w:cs="Arial"/>
          <w:sz w:val="24"/>
          <w:szCs w:val="24"/>
        </w:rPr>
      </w:pPr>
      <w:r>
        <w:rPr>
          <w:rFonts w:ascii="Arial" w:hAnsi="Arial" w:cs="Arial"/>
          <w:sz w:val="24"/>
          <w:szCs w:val="24"/>
        </w:rPr>
        <w:t>Achieve more sustainable patterns of development</w:t>
      </w:r>
    </w:p>
    <w:p w:rsidR="007A714E" w:rsidRDefault="007A714E" w:rsidP="007A714E">
      <w:pPr>
        <w:pStyle w:val="ListParagraph"/>
        <w:numPr>
          <w:ilvl w:val="0"/>
          <w:numId w:val="12"/>
        </w:numPr>
        <w:spacing w:line="240" w:lineRule="auto"/>
        <w:jc w:val="both"/>
        <w:rPr>
          <w:rFonts w:ascii="Arial" w:hAnsi="Arial" w:cs="Arial"/>
          <w:sz w:val="24"/>
          <w:szCs w:val="24"/>
        </w:rPr>
      </w:pPr>
      <w:r>
        <w:rPr>
          <w:rFonts w:ascii="Arial" w:hAnsi="Arial" w:cs="Arial"/>
          <w:sz w:val="24"/>
          <w:szCs w:val="24"/>
        </w:rPr>
        <w:t>Encourage more housing in urban areas</w:t>
      </w:r>
    </w:p>
    <w:p w:rsidR="007A714E" w:rsidRDefault="007A714E" w:rsidP="007A714E">
      <w:pPr>
        <w:pStyle w:val="ListParagraph"/>
        <w:numPr>
          <w:ilvl w:val="0"/>
          <w:numId w:val="12"/>
        </w:numPr>
        <w:spacing w:line="240" w:lineRule="auto"/>
        <w:jc w:val="both"/>
        <w:rPr>
          <w:rFonts w:ascii="Arial" w:hAnsi="Arial" w:cs="Arial"/>
          <w:sz w:val="24"/>
          <w:szCs w:val="24"/>
        </w:rPr>
      </w:pPr>
      <w:r>
        <w:rPr>
          <w:rFonts w:ascii="Arial" w:hAnsi="Arial" w:cs="Arial"/>
          <w:sz w:val="24"/>
          <w:szCs w:val="24"/>
        </w:rPr>
        <w:t>Encourage an increase in density of housing in urban areas, where appropriate to the setting and character of the area.</w:t>
      </w:r>
    </w:p>
    <w:p w:rsidR="007A714E" w:rsidRDefault="007A714E" w:rsidP="007A714E">
      <w:pPr>
        <w:spacing w:line="240" w:lineRule="auto"/>
        <w:ind w:left="720" w:hanging="720"/>
        <w:jc w:val="both"/>
        <w:rPr>
          <w:rFonts w:ascii="Arial" w:hAnsi="Arial" w:cs="Arial"/>
          <w:sz w:val="24"/>
          <w:szCs w:val="24"/>
        </w:rPr>
      </w:pPr>
      <w:r w:rsidRPr="00CF20DD">
        <w:rPr>
          <w:rFonts w:ascii="Arial" w:hAnsi="Arial" w:cs="Arial"/>
          <w:sz w:val="24"/>
          <w:szCs w:val="24"/>
        </w:rPr>
        <w:t>2.11</w:t>
      </w:r>
      <w:r w:rsidRPr="007A714E">
        <w:rPr>
          <w:rFonts w:ascii="Arial" w:hAnsi="Arial" w:cs="Arial"/>
          <w:b/>
          <w:sz w:val="24"/>
          <w:szCs w:val="24"/>
        </w:rPr>
        <w:tab/>
      </w:r>
      <w:r>
        <w:rPr>
          <w:rFonts w:ascii="Arial" w:hAnsi="Arial" w:cs="Arial"/>
          <w:sz w:val="24"/>
          <w:szCs w:val="24"/>
        </w:rPr>
        <w:t>When allocating housing growth, PPS 12 also lists the same consider</w:t>
      </w:r>
      <w:r w:rsidR="007F13CC">
        <w:rPr>
          <w:rFonts w:ascii="Arial" w:hAnsi="Arial" w:cs="Arial"/>
          <w:sz w:val="24"/>
          <w:szCs w:val="24"/>
        </w:rPr>
        <w:t>ations as those listed in the S</w:t>
      </w:r>
      <w:r>
        <w:rPr>
          <w:rFonts w:ascii="Arial" w:hAnsi="Arial" w:cs="Arial"/>
          <w:sz w:val="24"/>
          <w:szCs w:val="24"/>
        </w:rPr>
        <w:t>PPS, namely:</w:t>
      </w:r>
    </w:p>
    <w:p w:rsidR="007A714E" w:rsidRDefault="007A714E" w:rsidP="007A714E">
      <w:pPr>
        <w:pStyle w:val="ListParagraph"/>
        <w:numPr>
          <w:ilvl w:val="0"/>
          <w:numId w:val="13"/>
        </w:numPr>
        <w:spacing w:line="240" w:lineRule="auto"/>
        <w:jc w:val="both"/>
        <w:rPr>
          <w:rFonts w:ascii="Arial" w:hAnsi="Arial" w:cs="Arial"/>
          <w:sz w:val="24"/>
          <w:szCs w:val="24"/>
        </w:rPr>
      </w:pPr>
      <w:r>
        <w:rPr>
          <w:rFonts w:ascii="Arial" w:hAnsi="Arial" w:cs="Arial"/>
          <w:sz w:val="24"/>
          <w:szCs w:val="24"/>
        </w:rPr>
        <w:t>HGIs</w:t>
      </w:r>
    </w:p>
    <w:p w:rsidR="007A714E" w:rsidRDefault="007A714E" w:rsidP="007A714E">
      <w:pPr>
        <w:pStyle w:val="ListParagraph"/>
        <w:numPr>
          <w:ilvl w:val="0"/>
          <w:numId w:val="13"/>
        </w:numPr>
        <w:spacing w:line="240" w:lineRule="auto"/>
        <w:jc w:val="both"/>
        <w:rPr>
          <w:rFonts w:ascii="Arial" w:hAnsi="Arial" w:cs="Arial"/>
          <w:sz w:val="24"/>
          <w:szCs w:val="24"/>
        </w:rPr>
      </w:pPr>
      <w:r>
        <w:rPr>
          <w:rFonts w:ascii="Arial" w:hAnsi="Arial" w:cs="Arial"/>
          <w:sz w:val="24"/>
          <w:szCs w:val="24"/>
        </w:rPr>
        <w:t>Existing housing commitments</w:t>
      </w:r>
    </w:p>
    <w:p w:rsidR="007A714E" w:rsidRDefault="007A714E" w:rsidP="007A714E">
      <w:pPr>
        <w:pStyle w:val="ListParagraph"/>
        <w:numPr>
          <w:ilvl w:val="0"/>
          <w:numId w:val="13"/>
        </w:numPr>
        <w:spacing w:line="240" w:lineRule="auto"/>
        <w:jc w:val="both"/>
        <w:rPr>
          <w:rFonts w:ascii="Arial" w:hAnsi="Arial" w:cs="Arial"/>
          <w:sz w:val="24"/>
          <w:szCs w:val="24"/>
        </w:rPr>
      </w:pPr>
      <w:r>
        <w:rPr>
          <w:rFonts w:ascii="Arial" w:hAnsi="Arial" w:cs="Arial"/>
          <w:sz w:val="24"/>
          <w:szCs w:val="24"/>
        </w:rPr>
        <w:t>Urban Capacity Studies</w:t>
      </w:r>
    </w:p>
    <w:p w:rsidR="007A714E" w:rsidRDefault="007A714E" w:rsidP="007A714E">
      <w:pPr>
        <w:pStyle w:val="ListParagraph"/>
        <w:numPr>
          <w:ilvl w:val="0"/>
          <w:numId w:val="13"/>
        </w:numPr>
        <w:spacing w:line="240" w:lineRule="auto"/>
        <w:jc w:val="both"/>
        <w:rPr>
          <w:rFonts w:ascii="Arial" w:hAnsi="Arial" w:cs="Arial"/>
          <w:sz w:val="24"/>
          <w:szCs w:val="24"/>
        </w:rPr>
      </w:pPr>
      <w:r>
        <w:rPr>
          <w:rFonts w:ascii="Arial" w:hAnsi="Arial" w:cs="Arial"/>
          <w:sz w:val="24"/>
          <w:szCs w:val="24"/>
        </w:rPr>
        <w:t>Housing Needs Assessment</w:t>
      </w:r>
    </w:p>
    <w:p w:rsidR="007A714E" w:rsidRPr="007A714E" w:rsidRDefault="007A714E" w:rsidP="007A714E">
      <w:pPr>
        <w:pStyle w:val="ListParagraph"/>
        <w:numPr>
          <w:ilvl w:val="0"/>
          <w:numId w:val="13"/>
        </w:numPr>
        <w:spacing w:line="240" w:lineRule="auto"/>
        <w:jc w:val="both"/>
        <w:rPr>
          <w:rFonts w:ascii="Arial" w:hAnsi="Arial" w:cs="Arial"/>
          <w:sz w:val="24"/>
          <w:szCs w:val="24"/>
        </w:rPr>
      </w:pPr>
      <w:r>
        <w:rPr>
          <w:rFonts w:ascii="Arial" w:hAnsi="Arial" w:cs="Arial"/>
          <w:sz w:val="24"/>
          <w:szCs w:val="24"/>
        </w:rPr>
        <w:t>Windfall housing</w:t>
      </w:r>
    </w:p>
    <w:p w:rsidR="00685ADB" w:rsidRDefault="00685ADB" w:rsidP="007920C7">
      <w:pPr>
        <w:spacing w:line="240" w:lineRule="auto"/>
        <w:ind w:left="720" w:hanging="720"/>
        <w:jc w:val="both"/>
        <w:rPr>
          <w:rFonts w:ascii="Arial" w:hAnsi="Arial" w:cs="Arial"/>
          <w:sz w:val="24"/>
          <w:szCs w:val="24"/>
        </w:rPr>
      </w:pPr>
    </w:p>
    <w:p w:rsidR="00637ADA" w:rsidRDefault="00637ADA" w:rsidP="007920C7">
      <w:pPr>
        <w:spacing w:line="240" w:lineRule="auto"/>
        <w:ind w:left="720" w:hanging="720"/>
        <w:jc w:val="both"/>
        <w:rPr>
          <w:rFonts w:ascii="Arial" w:hAnsi="Arial" w:cs="Arial"/>
          <w:b/>
          <w:sz w:val="24"/>
          <w:szCs w:val="24"/>
        </w:rPr>
      </w:pPr>
      <w:r w:rsidRPr="00637ADA">
        <w:rPr>
          <w:rFonts w:ascii="Arial" w:hAnsi="Arial" w:cs="Arial"/>
          <w:b/>
          <w:sz w:val="24"/>
          <w:szCs w:val="24"/>
        </w:rPr>
        <w:t xml:space="preserve">3.0 </w:t>
      </w:r>
      <w:r w:rsidRPr="00637ADA">
        <w:rPr>
          <w:rFonts w:ascii="Arial" w:hAnsi="Arial" w:cs="Arial"/>
          <w:b/>
          <w:sz w:val="24"/>
          <w:szCs w:val="24"/>
        </w:rPr>
        <w:tab/>
        <w:t>Existing Area Plans and Housing Zonings</w:t>
      </w:r>
    </w:p>
    <w:p w:rsidR="00637ADA" w:rsidRDefault="00637ADA" w:rsidP="007920C7">
      <w:pPr>
        <w:spacing w:line="240" w:lineRule="auto"/>
        <w:ind w:left="720" w:hanging="720"/>
        <w:jc w:val="both"/>
        <w:rPr>
          <w:rFonts w:ascii="Arial" w:hAnsi="Arial" w:cs="Arial"/>
          <w:b/>
          <w:sz w:val="24"/>
          <w:szCs w:val="24"/>
        </w:rPr>
      </w:pPr>
      <w:r w:rsidRPr="00CF20DD">
        <w:rPr>
          <w:rFonts w:ascii="Arial" w:hAnsi="Arial" w:cs="Arial"/>
          <w:sz w:val="24"/>
          <w:szCs w:val="24"/>
        </w:rPr>
        <w:t>3.1</w:t>
      </w:r>
      <w:r>
        <w:rPr>
          <w:rFonts w:ascii="Arial" w:hAnsi="Arial" w:cs="Arial"/>
          <w:b/>
          <w:sz w:val="24"/>
          <w:szCs w:val="24"/>
        </w:rPr>
        <w:tab/>
      </w:r>
      <w:r>
        <w:rPr>
          <w:rFonts w:ascii="Arial" w:hAnsi="Arial" w:cs="Arial"/>
          <w:sz w:val="24"/>
          <w:szCs w:val="24"/>
        </w:rPr>
        <w:t xml:space="preserve">Both the Fermanagh and Omagh Area Plans established a settlement hierarchy upon which future development or growth was based. In both plans, the main town would be the focus for most development with the smaller towns and villages identified as local centres serving the needs of their rural hinterlands. However, </w:t>
      </w:r>
      <w:r w:rsidR="00F30729">
        <w:rPr>
          <w:rFonts w:ascii="Arial" w:hAnsi="Arial" w:cs="Arial"/>
          <w:sz w:val="24"/>
          <w:szCs w:val="24"/>
        </w:rPr>
        <w:t xml:space="preserve">there is a distinctive difference between the two plans in that </w:t>
      </w:r>
      <w:r>
        <w:rPr>
          <w:rFonts w:ascii="Arial" w:hAnsi="Arial" w:cs="Arial"/>
          <w:sz w:val="24"/>
          <w:szCs w:val="24"/>
        </w:rPr>
        <w:t xml:space="preserve">the Omagh Area Plan </w:t>
      </w:r>
      <w:r w:rsidR="00F30729">
        <w:rPr>
          <w:rFonts w:ascii="Arial" w:hAnsi="Arial" w:cs="Arial"/>
          <w:sz w:val="24"/>
          <w:szCs w:val="24"/>
        </w:rPr>
        <w:t xml:space="preserve">uses </w:t>
      </w:r>
      <w:r>
        <w:rPr>
          <w:rFonts w:ascii="Arial" w:hAnsi="Arial" w:cs="Arial"/>
          <w:sz w:val="24"/>
          <w:szCs w:val="24"/>
        </w:rPr>
        <w:t xml:space="preserve">a fourth tier </w:t>
      </w:r>
      <w:r w:rsidR="00F30729">
        <w:rPr>
          <w:rFonts w:ascii="Arial" w:hAnsi="Arial" w:cs="Arial"/>
          <w:sz w:val="24"/>
          <w:szCs w:val="24"/>
        </w:rPr>
        <w:t>below</w:t>
      </w:r>
      <w:r>
        <w:rPr>
          <w:rFonts w:ascii="Arial" w:hAnsi="Arial" w:cs="Arial"/>
          <w:sz w:val="24"/>
          <w:szCs w:val="24"/>
        </w:rPr>
        <w:t xml:space="preserve"> village level which comprises of small settlements or hamlets. These settlements could accommodate small groups of dwellings or single dwellings as long as their size, character and identity were preserved.</w:t>
      </w:r>
    </w:p>
    <w:p w:rsidR="00637ADA" w:rsidRPr="00481A89" w:rsidRDefault="00F30729" w:rsidP="00481A89">
      <w:pPr>
        <w:ind w:left="720" w:hanging="720"/>
        <w:jc w:val="both"/>
        <w:rPr>
          <w:rFonts w:ascii="Arial" w:hAnsi="Arial" w:cs="Arial"/>
          <w:sz w:val="24"/>
          <w:szCs w:val="24"/>
        </w:rPr>
      </w:pPr>
      <w:r w:rsidRPr="00CF20DD">
        <w:rPr>
          <w:rFonts w:ascii="Arial" w:hAnsi="Arial" w:cs="Arial"/>
          <w:sz w:val="24"/>
          <w:szCs w:val="24"/>
        </w:rPr>
        <w:t>3.2</w:t>
      </w:r>
      <w:r>
        <w:rPr>
          <w:rFonts w:ascii="Arial" w:hAnsi="Arial" w:cs="Arial"/>
          <w:sz w:val="24"/>
          <w:szCs w:val="24"/>
        </w:rPr>
        <w:tab/>
        <w:t>Fermanagh, therefore, has 39 villages compared to 9 in Omagh and they vary greatly in size, form and function and capacity to accommodate growth. For the purposes of this paper, and following on from the Strategic Settlement Evaluation Paper, it is felt that the approach used in the Omagh Area Plan should be adopted so that a four-tier settlement hierarchy consisting of main towns, local towns, villages and small settlements is used within the new Local Development Plan.</w:t>
      </w:r>
    </w:p>
    <w:p w:rsidR="00637ADA" w:rsidRPr="006220FF" w:rsidRDefault="00F30729" w:rsidP="00637ADA">
      <w:pPr>
        <w:ind w:left="720" w:hanging="720"/>
        <w:jc w:val="both"/>
        <w:rPr>
          <w:rFonts w:ascii="Arial" w:hAnsi="Arial" w:cs="Arial"/>
          <w:sz w:val="24"/>
          <w:szCs w:val="24"/>
        </w:rPr>
      </w:pPr>
      <w:r w:rsidRPr="00CF20DD">
        <w:rPr>
          <w:rFonts w:ascii="Arial" w:hAnsi="Arial" w:cs="Arial"/>
          <w:sz w:val="24"/>
          <w:szCs w:val="24"/>
        </w:rPr>
        <w:t>3.3</w:t>
      </w:r>
      <w:r>
        <w:rPr>
          <w:rFonts w:ascii="Arial" w:hAnsi="Arial" w:cs="Arial"/>
          <w:sz w:val="24"/>
          <w:szCs w:val="24"/>
        </w:rPr>
        <w:tab/>
      </w:r>
      <w:r w:rsidR="00637ADA" w:rsidRPr="006220FF">
        <w:rPr>
          <w:rFonts w:ascii="Arial" w:hAnsi="Arial" w:cs="Arial"/>
          <w:sz w:val="24"/>
          <w:szCs w:val="24"/>
        </w:rPr>
        <w:t xml:space="preserve">In terms of housing provision, the dominance and strategic importance of the main towns of Enniskillen and Omagh within their respective districts was recognised in the Settlement Strategy of each Plan. In addition to land zoned for housing, the urban areas defined within the development limits of the main and local towns contained significant areas of unzoned or white land. In both Plans, the housing objectives were to identify sufficient land for new housing in the main and local towns to provide a choice of housing sites in convenient locations to support a range of dwelling types to meet different housing needs, and to protect the character of existing residential areas. Land was not zoned in villages or smaller settlements in order to allow flexibility. </w:t>
      </w:r>
    </w:p>
    <w:p w:rsidR="00637ADA" w:rsidRPr="000C29E7" w:rsidRDefault="000C29E7" w:rsidP="00637ADA">
      <w:pPr>
        <w:jc w:val="both"/>
        <w:rPr>
          <w:rFonts w:ascii="Arial" w:hAnsi="Arial" w:cs="Arial"/>
          <w:b/>
          <w:sz w:val="24"/>
          <w:szCs w:val="24"/>
        </w:rPr>
      </w:pPr>
      <w:r>
        <w:rPr>
          <w:rFonts w:ascii="Arial" w:hAnsi="Arial" w:cs="Arial"/>
          <w:sz w:val="24"/>
          <w:szCs w:val="24"/>
        </w:rPr>
        <w:tab/>
      </w:r>
      <w:r w:rsidRPr="000C29E7">
        <w:rPr>
          <w:rFonts w:ascii="Arial" w:hAnsi="Arial" w:cs="Arial"/>
          <w:b/>
          <w:sz w:val="24"/>
          <w:szCs w:val="24"/>
        </w:rPr>
        <w:t>(a) Omagh Area Plan 2002</w:t>
      </w:r>
    </w:p>
    <w:p w:rsidR="00637ADA" w:rsidRDefault="00F30729" w:rsidP="00637ADA">
      <w:pPr>
        <w:pStyle w:val="BodyText"/>
        <w:spacing w:after="0"/>
        <w:ind w:left="720" w:hanging="720"/>
        <w:jc w:val="both"/>
        <w:rPr>
          <w:rFonts w:ascii="Arial" w:hAnsi="Arial" w:cs="Arial"/>
          <w:sz w:val="24"/>
          <w:szCs w:val="24"/>
        </w:rPr>
      </w:pPr>
      <w:r w:rsidRPr="00CF20DD">
        <w:rPr>
          <w:rFonts w:ascii="Arial" w:hAnsi="Arial" w:cs="Arial"/>
          <w:sz w:val="24"/>
          <w:szCs w:val="24"/>
        </w:rPr>
        <w:t>3.4</w:t>
      </w:r>
      <w:r w:rsidR="00637ADA" w:rsidRPr="006220FF">
        <w:rPr>
          <w:rFonts w:ascii="Arial" w:hAnsi="Arial" w:cs="Arial"/>
          <w:sz w:val="24"/>
          <w:szCs w:val="24"/>
        </w:rPr>
        <w:tab/>
      </w:r>
      <w:r w:rsidR="000C29E7">
        <w:rPr>
          <w:rFonts w:ascii="Arial" w:hAnsi="Arial" w:cs="Arial"/>
          <w:sz w:val="24"/>
          <w:szCs w:val="24"/>
        </w:rPr>
        <w:t xml:space="preserve">The </w:t>
      </w:r>
      <w:r w:rsidR="00E3518B">
        <w:rPr>
          <w:rFonts w:ascii="Arial" w:hAnsi="Arial" w:cs="Arial"/>
          <w:sz w:val="24"/>
          <w:szCs w:val="24"/>
        </w:rPr>
        <w:t xml:space="preserve">plan concentrates large scale land use zonings including housing in the main town of Omagh. The </w:t>
      </w:r>
      <w:r w:rsidR="000C29E7">
        <w:rPr>
          <w:rFonts w:ascii="Arial" w:hAnsi="Arial" w:cs="Arial"/>
          <w:sz w:val="24"/>
          <w:szCs w:val="24"/>
        </w:rPr>
        <w:t>majority of housing land</w:t>
      </w:r>
      <w:r w:rsidR="00E3518B">
        <w:rPr>
          <w:rFonts w:ascii="Arial" w:hAnsi="Arial" w:cs="Arial"/>
          <w:sz w:val="24"/>
          <w:szCs w:val="24"/>
        </w:rPr>
        <w:t xml:space="preserve"> zonings are found</w:t>
      </w:r>
      <w:r w:rsidR="000C29E7">
        <w:rPr>
          <w:rFonts w:ascii="Arial" w:hAnsi="Arial" w:cs="Arial"/>
          <w:sz w:val="24"/>
          <w:szCs w:val="24"/>
        </w:rPr>
        <w:t xml:space="preserve"> in Omagh town</w:t>
      </w:r>
      <w:r w:rsidR="00637ADA" w:rsidRPr="006220FF">
        <w:rPr>
          <w:rFonts w:ascii="Arial" w:hAnsi="Arial" w:cs="Arial"/>
          <w:sz w:val="24"/>
          <w:szCs w:val="24"/>
        </w:rPr>
        <w:t xml:space="preserve"> </w:t>
      </w:r>
      <w:r w:rsidR="000C29E7">
        <w:rPr>
          <w:rFonts w:ascii="Arial" w:hAnsi="Arial" w:cs="Arial"/>
          <w:sz w:val="24"/>
          <w:szCs w:val="24"/>
        </w:rPr>
        <w:t>where some 213 hectares were allocated.</w:t>
      </w:r>
      <w:r w:rsidR="0018434F">
        <w:rPr>
          <w:rFonts w:ascii="Arial" w:hAnsi="Arial" w:cs="Arial"/>
          <w:sz w:val="24"/>
          <w:szCs w:val="24"/>
        </w:rPr>
        <w:t xml:space="preserve"> Additionally, approximately 46 hectares</w:t>
      </w:r>
      <w:r w:rsidR="00A27F75">
        <w:rPr>
          <w:rFonts w:ascii="Arial" w:hAnsi="Arial" w:cs="Arial"/>
          <w:sz w:val="24"/>
          <w:szCs w:val="24"/>
        </w:rPr>
        <w:t xml:space="preserve"> were allocated</w:t>
      </w:r>
      <w:r w:rsidR="0018434F">
        <w:rPr>
          <w:rFonts w:ascii="Arial" w:hAnsi="Arial" w:cs="Arial"/>
          <w:sz w:val="24"/>
          <w:szCs w:val="24"/>
        </w:rPr>
        <w:t xml:space="preserve"> between the three local towns of Fintona, Dromore and Carrickmore. </w:t>
      </w:r>
    </w:p>
    <w:p w:rsidR="0018434F" w:rsidRDefault="0018434F" w:rsidP="00637ADA">
      <w:pPr>
        <w:pStyle w:val="BodyText"/>
        <w:spacing w:after="0"/>
        <w:ind w:left="720" w:hanging="720"/>
        <w:jc w:val="both"/>
        <w:rPr>
          <w:rFonts w:ascii="Arial" w:hAnsi="Arial" w:cs="Arial"/>
          <w:sz w:val="24"/>
          <w:szCs w:val="24"/>
        </w:rPr>
      </w:pPr>
    </w:p>
    <w:p w:rsidR="0018434F" w:rsidRDefault="0018434F" w:rsidP="00637ADA">
      <w:pPr>
        <w:pStyle w:val="BodyText"/>
        <w:spacing w:after="0"/>
        <w:ind w:left="720" w:hanging="720"/>
        <w:jc w:val="both"/>
        <w:rPr>
          <w:rFonts w:ascii="Arial" w:hAnsi="Arial" w:cs="Arial"/>
          <w:sz w:val="24"/>
          <w:szCs w:val="24"/>
        </w:rPr>
      </w:pPr>
      <w:r w:rsidRPr="00CF20DD">
        <w:rPr>
          <w:rFonts w:ascii="Arial" w:hAnsi="Arial" w:cs="Arial"/>
          <w:sz w:val="24"/>
          <w:szCs w:val="24"/>
        </w:rPr>
        <w:t>3.5</w:t>
      </w:r>
      <w:r w:rsidRPr="0018434F">
        <w:rPr>
          <w:rFonts w:ascii="Arial" w:hAnsi="Arial" w:cs="Arial"/>
          <w:b/>
          <w:sz w:val="24"/>
          <w:szCs w:val="24"/>
        </w:rPr>
        <w:tab/>
      </w:r>
      <w:r>
        <w:rPr>
          <w:rFonts w:ascii="Arial" w:hAnsi="Arial" w:cs="Arial"/>
          <w:sz w:val="24"/>
          <w:szCs w:val="24"/>
        </w:rPr>
        <w:t xml:space="preserve">Housing can also be accommodated within the settlement limits of 9 villages and 24 hamlets or small settlements although no land has been zoned for housing within these settlements. It should be noted that the status of some of the 24 small settlements may be revised in the incoming plan and this has been considered and recommended within the revised </w:t>
      </w:r>
      <w:r w:rsidR="00E3518B">
        <w:rPr>
          <w:rFonts w:ascii="Arial" w:hAnsi="Arial" w:cs="Arial"/>
          <w:sz w:val="24"/>
          <w:szCs w:val="24"/>
        </w:rPr>
        <w:t>settlement</w:t>
      </w:r>
      <w:r>
        <w:rPr>
          <w:rFonts w:ascii="Arial" w:hAnsi="Arial" w:cs="Arial"/>
          <w:sz w:val="24"/>
          <w:szCs w:val="24"/>
        </w:rPr>
        <w:t xml:space="preserve"> hierarchy</w:t>
      </w:r>
      <w:r w:rsidR="00E3518B">
        <w:rPr>
          <w:rFonts w:ascii="Arial" w:hAnsi="Arial" w:cs="Arial"/>
          <w:sz w:val="24"/>
          <w:szCs w:val="24"/>
        </w:rPr>
        <w:t xml:space="preserve"> contained in the Strategic Settlement Evaluation Paper.</w:t>
      </w:r>
    </w:p>
    <w:p w:rsidR="00E3518B" w:rsidRDefault="00E3518B" w:rsidP="00637ADA">
      <w:pPr>
        <w:pStyle w:val="BodyText"/>
        <w:spacing w:after="0"/>
        <w:ind w:left="720" w:hanging="720"/>
        <w:jc w:val="both"/>
        <w:rPr>
          <w:rFonts w:ascii="Arial" w:hAnsi="Arial" w:cs="Arial"/>
          <w:sz w:val="24"/>
          <w:szCs w:val="24"/>
        </w:rPr>
      </w:pPr>
    </w:p>
    <w:p w:rsidR="00E3518B" w:rsidRPr="00E3518B" w:rsidRDefault="00E3518B" w:rsidP="00637ADA">
      <w:pPr>
        <w:pStyle w:val="BodyText"/>
        <w:spacing w:after="0"/>
        <w:ind w:left="720" w:hanging="720"/>
        <w:jc w:val="both"/>
        <w:rPr>
          <w:rFonts w:ascii="Arial" w:hAnsi="Arial" w:cs="Arial"/>
          <w:b/>
          <w:sz w:val="24"/>
          <w:szCs w:val="24"/>
        </w:rPr>
      </w:pPr>
      <w:r>
        <w:rPr>
          <w:rFonts w:ascii="Arial" w:hAnsi="Arial" w:cs="Arial"/>
          <w:sz w:val="24"/>
          <w:szCs w:val="24"/>
        </w:rPr>
        <w:tab/>
      </w:r>
      <w:r w:rsidRPr="00E3518B">
        <w:rPr>
          <w:rFonts w:ascii="Arial" w:hAnsi="Arial" w:cs="Arial"/>
          <w:b/>
          <w:sz w:val="24"/>
          <w:szCs w:val="24"/>
        </w:rPr>
        <w:t>(b) Fermanagh Area Plan 2007</w:t>
      </w:r>
    </w:p>
    <w:p w:rsidR="00637ADA" w:rsidRDefault="00637ADA" w:rsidP="007920C7">
      <w:pPr>
        <w:spacing w:line="240" w:lineRule="auto"/>
        <w:ind w:left="720" w:hanging="720"/>
        <w:jc w:val="both"/>
        <w:rPr>
          <w:rFonts w:ascii="Arial" w:hAnsi="Arial" w:cs="Arial"/>
          <w:b/>
          <w:sz w:val="24"/>
          <w:szCs w:val="24"/>
        </w:rPr>
      </w:pPr>
    </w:p>
    <w:p w:rsidR="00E3518B" w:rsidRDefault="00E3518B" w:rsidP="007920C7">
      <w:pPr>
        <w:spacing w:line="240" w:lineRule="auto"/>
        <w:ind w:left="720" w:hanging="720"/>
        <w:jc w:val="both"/>
        <w:rPr>
          <w:rFonts w:ascii="Arial" w:hAnsi="Arial" w:cs="Arial"/>
          <w:sz w:val="24"/>
          <w:szCs w:val="24"/>
        </w:rPr>
      </w:pPr>
      <w:r w:rsidRPr="00CF20DD">
        <w:rPr>
          <w:rFonts w:ascii="Arial" w:hAnsi="Arial" w:cs="Arial"/>
          <w:sz w:val="24"/>
          <w:szCs w:val="24"/>
        </w:rPr>
        <w:t>3.6</w:t>
      </w:r>
      <w:r>
        <w:rPr>
          <w:rFonts w:ascii="Arial" w:hAnsi="Arial" w:cs="Arial"/>
          <w:b/>
          <w:sz w:val="24"/>
          <w:szCs w:val="24"/>
        </w:rPr>
        <w:tab/>
      </w:r>
      <w:r>
        <w:rPr>
          <w:rFonts w:ascii="Arial" w:hAnsi="Arial" w:cs="Arial"/>
          <w:sz w:val="24"/>
          <w:szCs w:val="24"/>
        </w:rPr>
        <w:t>The plan concentrates large scale land use zonings including housing in the main town of Enniskillen.</w:t>
      </w:r>
      <w:r w:rsidR="00A27F75">
        <w:rPr>
          <w:rFonts w:ascii="Arial" w:hAnsi="Arial" w:cs="Arial"/>
          <w:sz w:val="24"/>
          <w:szCs w:val="24"/>
        </w:rPr>
        <w:t xml:space="preserve"> Approximately 170 hectares of land were allocated to housing although this reduced to 155 hectares with the development of the South-West Acute Hospital on one of the zonings. In addition, nearly 80 hectares were allocated between the two local towns of Lisnaskea and Irvinestown. </w:t>
      </w:r>
    </w:p>
    <w:p w:rsidR="0011614E" w:rsidRDefault="0011614E" w:rsidP="007920C7">
      <w:pPr>
        <w:spacing w:line="240" w:lineRule="auto"/>
        <w:ind w:left="720" w:hanging="720"/>
        <w:jc w:val="both"/>
        <w:rPr>
          <w:rFonts w:ascii="Arial" w:hAnsi="Arial" w:cs="Arial"/>
          <w:sz w:val="24"/>
          <w:szCs w:val="24"/>
        </w:rPr>
      </w:pPr>
      <w:r w:rsidRPr="00CF20DD">
        <w:rPr>
          <w:rFonts w:ascii="Arial" w:hAnsi="Arial" w:cs="Arial"/>
          <w:sz w:val="24"/>
          <w:szCs w:val="24"/>
        </w:rPr>
        <w:t>3.7</w:t>
      </w:r>
      <w:r>
        <w:rPr>
          <w:rFonts w:ascii="Arial" w:hAnsi="Arial" w:cs="Arial"/>
          <w:b/>
          <w:sz w:val="24"/>
          <w:szCs w:val="24"/>
        </w:rPr>
        <w:tab/>
      </w:r>
      <w:r>
        <w:rPr>
          <w:rFonts w:ascii="Arial" w:hAnsi="Arial" w:cs="Arial"/>
          <w:sz w:val="24"/>
          <w:szCs w:val="24"/>
        </w:rPr>
        <w:t>Housing can also be accommodated in the 39 villages although no land has been zoned for housing within these settlements. It should be noted that the status of some of these settlements as “villages” may be revised in the incoming plan and this has been considered and recommended within the revised settlement hierarchy contained in the Strategic Settlement Evaluation Paper.</w:t>
      </w:r>
    </w:p>
    <w:p w:rsidR="0011614E" w:rsidRDefault="0011614E" w:rsidP="007920C7">
      <w:pPr>
        <w:spacing w:line="240" w:lineRule="auto"/>
        <w:ind w:left="720" w:hanging="720"/>
        <w:jc w:val="both"/>
        <w:rPr>
          <w:rFonts w:ascii="Arial" w:hAnsi="Arial" w:cs="Arial"/>
          <w:sz w:val="24"/>
          <w:szCs w:val="24"/>
        </w:rPr>
      </w:pPr>
    </w:p>
    <w:p w:rsidR="0011614E" w:rsidRDefault="0011614E" w:rsidP="007920C7">
      <w:pPr>
        <w:spacing w:line="240" w:lineRule="auto"/>
        <w:ind w:left="720" w:hanging="720"/>
        <w:jc w:val="both"/>
        <w:rPr>
          <w:rFonts w:ascii="Arial" w:hAnsi="Arial" w:cs="Arial"/>
          <w:b/>
          <w:sz w:val="28"/>
          <w:szCs w:val="28"/>
        </w:rPr>
      </w:pPr>
      <w:r w:rsidRPr="0011614E">
        <w:rPr>
          <w:rFonts w:ascii="Arial" w:hAnsi="Arial" w:cs="Arial"/>
          <w:b/>
          <w:sz w:val="28"/>
          <w:szCs w:val="28"/>
        </w:rPr>
        <w:t>4.0</w:t>
      </w:r>
      <w:r w:rsidRPr="0011614E">
        <w:rPr>
          <w:rFonts w:ascii="Arial" w:hAnsi="Arial" w:cs="Arial"/>
          <w:b/>
          <w:sz w:val="28"/>
          <w:szCs w:val="28"/>
        </w:rPr>
        <w:tab/>
        <w:t>Housing Need – Housing Growth Indicators (HGIs) for the Plan Period</w:t>
      </w:r>
    </w:p>
    <w:p w:rsidR="0011614E" w:rsidRDefault="0011614E" w:rsidP="007920C7">
      <w:pPr>
        <w:spacing w:line="240" w:lineRule="auto"/>
        <w:ind w:left="720" w:hanging="720"/>
        <w:jc w:val="both"/>
        <w:rPr>
          <w:rFonts w:ascii="Arial" w:hAnsi="Arial" w:cs="Arial"/>
          <w:sz w:val="24"/>
          <w:szCs w:val="24"/>
        </w:rPr>
      </w:pPr>
      <w:r w:rsidRPr="00CF20DD">
        <w:rPr>
          <w:rFonts w:ascii="Arial" w:hAnsi="Arial" w:cs="Arial"/>
          <w:sz w:val="24"/>
          <w:szCs w:val="24"/>
        </w:rPr>
        <w:t>4.1</w:t>
      </w:r>
      <w:r>
        <w:rPr>
          <w:rFonts w:ascii="Arial" w:hAnsi="Arial" w:cs="Arial"/>
          <w:b/>
          <w:sz w:val="24"/>
          <w:szCs w:val="24"/>
        </w:rPr>
        <w:tab/>
      </w:r>
      <w:r w:rsidR="00C439ED">
        <w:rPr>
          <w:rFonts w:ascii="Arial" w:hAnsi="Arial" w:cs="Arial"/>
          <w:sz w:val="24"/>
          <w:szCs w:val="24"/>
        </w:rPr>
        <w:t xml:space="preserve">Having set out the regional policy context and how it relates to housing allocation, it is important to attempt to ascertain what the housing need is for the Fermanagh and Omagh District over the incoming plan period. This will primarily be achieved by using the housing growth indicators (HGIs). However, as explained earlier, this can only be done on a provisional basis at this time using the current HGIs and taking account of household projections. It is anticipated that the HGIs will be revised downwards in line with the household projection figures and the allocations will be revisited at that time. </w:t>
      </w:r>
    </w:p>
    <w:p w:rsidR="00C439ED" w:rsidRDefault="00C439ED" w:rsidP="007920C7">
      <w:pPr>
        <w:spacing w:line="240" w:lineRule="auto"/>
        <w:ind w:left="720" w:hanging="720"/>
        <w:jc w:val="both"/>
        <w:rPr>
          <w:rFonts w:ascii="Arial" w:hAnsi="Arial" w:cs="Arial"/>
          <w:sz w:val="24"/>
          <w:szCs w:val="24"/>
        </w:rPr>
      </w:pPr>
      <w:r w:rsidRPr="00CF20DD">
        <w:rPr>
          <w:rFonts w:ascii="Arial" w:hAnsi="Arial" w:cs="Arial"/>
          <w:sz w:val="24"/>
          <w:szCs w:val="24"/>
        </w:rPr>
        <w:t>4.2</w:t>
      </w:r>
      <w:r>
        <w:rPr>
          <w:rFonts w:ascii="Arial" w:hAnsi="Arial" w:cs="Arial"/>
          <w:b/>
          <w:sz w:val="24"/>
          <w:szCs w:val="24"/>
        </w:rPr>
        <w:tab/>
      </w:r>
      <w:r w:rsidRPr="00C439ED">
        <w:rPr>
          <w:rFonts w:ascii="Arial" w:hAnsi="Arial" w:cs="Arial"/>
          <w:sz w:val="24"/>
          <w:szCs w:val="24"/>
        </w:rPr>
        <w:t>The</w:t>
      </w:r>
      <w:r>
        <w:rPr>
          <w:rFonts w:ascii="Arial" w:hAnsi="Arial" w:cs="Arial"/>
          <w:sz w:val="24"/>
          <w:szCs w:val="24"/>
        </w:rPr>
        <w:t xml:space="preserve"> 2012-household projections published by Northern Ireland Statistical Research Agency (NISRA)</w:t>
      </w:r>
      <w:r w:rsidR="00127346">
        <w:rPr>
          <w:rFonts w:ascii="Arial" w:hAnsi="Arial" w:cs="Arial"/>
          <w:sz w:val="24"/>
          <w:szCs w:val="24"/>
        </w:rPr>
        <w:t xml:space="preserve"> indicate lower levels of growth than previously suggested by the 2008-based projections. Thus, the number of households in Fermanagh and Omagh is likely to increase by</w:t>
      </w:r>
      <w:r w:rsidR="00054DB2">
        <w:rPr>
          <w:rFonts w:ascii="Arial" w:hAnsi="Arial" w:cs="Arial"/>
          <w:sz w:val="24"/>
          <w:szCs w:val="24"/>
        </w:rPr>
        <w:t xml:space="preserve"> only </w:t>
      </w:r>
      <w:r w:rsidR="00127346">
        <w:rPr>
          <w:rFonts w:ascii="Arial" w:hAnsi="Arial" w:cs="Arial"/>
          <w:sz w:val="24"/>
          <w:szCs w:val="24"/>
        </w:rPr>
        <w:t xml:space="preserve">4,337 between 2015 and </w:t>
      </w:r>
      <w:r w:rsidR="00054DB2">
        <w:rPr>
          <w:rFonts w:ascii="Arial" w:hAnsi="Arial" w:cs="Arial"/>
          <w:sz w:val="24"/>
          <w:szCs w:val="24"/>
        </w:rPr>
        <w:t>2030</w:t>
      </w:r>
      <w:r w:rsidR="00127346">
        <w:rPr>
          <w:rStyle w:val="FootnoteReference"/>
          <w:rFonts w:ascii="Arial" w:hAnsi="Arial" w:cs="Arial"/>
          <w:sz w:val="24"/>
          <w:szCs w:val="24"/>
        </w:rPr>
        <w:footnoteReference w:id="4"/>
      </w:r>
      <w:r w:rsidR="00127346">
        <w:rPr>
          <w:rFonts w:ascii="Arial" w:hAnsi="Arial" w:cs="Arial"/>
          <w:sz w:val="24"/>
          <w:szCs w:val="24"/>
        </w:rPr>
        <w:t xml:space="preserve"> </w:t>
      </w:r>
      <w:r w:rsidR="00054DB2">
        <w:rPr>
          <w:rFonts w:ascii="Arial" w:hAnsi="Arial" w:cs="Arial"/>
          <w:sz w:val="24"/>
          <w:szCs w:val="24"/>
        </w:rPr>
        <w:t xml:space="preserve">compared to 8,000 as suggested in </w:t>
      </w:r>
      <w:r w:rsidR="00257F68">
        <w:rPr>
          <w:rFonts w:ascii="Arial" w:hAnsi="Arial" w:cs="Arial"/>
          <w:sz w:val="24"/>
          <w:szCs w:val="24"/>
        </w:rPr>
        <w:t>Position Paper 2 Housing (November 2014)</w:t>
      </w:r>
      <w:r w:rsidR="00054DB2">
        <w:rPr>
          <w:rFonts w:ascii="Arial" w:hAnsi="Arial" w:cs="Arial"/>
          <w:sz w:val="24"/>
          <w:szCs w:val="24"/>
        </w:rPr>
        <w:t xml:space="preserve">. </w:t>
      </w:r>
      <w:r w:rsidR="00127346">
        <w:rPr>
          <w:rFonts w:ascii="Arial" w:hAnsi="Arial" w:cs="Arial"/>
          <w:sz w:val="24"/>
          <w:szCs w:val="24"/>
        </w:rPr>
        <w:t>As the new HGI figures are unlikely to be available before autumn 2015, this paper will proceed to use current HGI figures but bearing in mind that there is a strong possibility that they will be revised downwards.</w:t>
      </w:r>
    </w:p>
    <w:p w:rsidR="00DC3E57" w:rsidRDefault="00DC3E57" w:rsidP="007920C7">
      <w:pPr>
        <w:spacing w:line="240" w:lineRule="auto"/>
        <w:ind w:left="720" w:hanging="720"/>
        <w:jc w:val="both"/>
        <w:rPr>
          <w:rFonts w:ascii="Arial" w:hAnsi="Arial" w:cs="Arial"/>
          <w:sz w:val="24"/>
          <w:szCs w:val="24"/>
        </w:rPr>
      </w:pPr>
      <w:r w:rsidRPr="00CF20DD">
        <w:rPr>
          <w:rFonts w:ascii="Arial" w:hAnsi="Arial" w:cs="Arial"/>
          <w:sz w:val="24"/>
          <w:szCs w:val="24"/>
        </w:rPr>
        <w:t>4.3</w:t>
      </w:r>
      <w:r>
        <w:rPr>
          <w:rFonts w:ascii="Arial" w:hAnsi="Arial" w:cs="Arial"/>
          <w:b/>
          <w:sz w:val="24"/>
          <w:szCs w:val="24"/>
        </w:rPr>
        <w:tab/>
      </w:r>
      <w:r>
        <w:rPr>
          <w:rFonts w:ascii="Arial" w:hAnsi="Arial" w:cs="Arial"/>
          <w:sz w:val="24"/>
          <w:szCs w:val="24"/>
        </w:rPr>
        <w:t xml:space="preserve">The existing HGI figures in the RDS 2035 cover the period 2008-2025 and therefore have to be extrapolated to 2030 (the end of the incoming plan period) using a simple pro rata calculation as shown in Table 2 below. </w:t>
      </w:r>
    </w:p>
    <w:p w:rsidR="00DC3E57" w:rsidRPr="00DC3E57" w:rsidRDefault="00DC3E57" w:rsidP="007920C7">
      <w:pPr>
        <w:spacing w:line="240" w:lineRule="auto"/>
        <w:ind w:left="720" w:hanging="720"/>
        <w:jc w:val="both"/>
        <w:rPr>
          <w:rFonts w:ascii="Arial" w:hAnsi="Arial" w:cs="Arial"/>
          <w:b/>
          <w:sz w:val="24"/>
          <w:szCs w:val="24"/>
        </w:rPr>
      </w:pPr>
      <w:r>
        <w:rPr>
          <w:rFonts w:ascii="Arial" w:hAnsi="Arial" w:cs="Arial"/>
          <w:sz w:val="24"/>
          <w:szCs w:val="24"/>
        </w:rPr>
        <w:tab/>
      </w:r>
      <w:r w:rsidRPr="00DC3E57">
        <w:rPr>
          <w:rFonts w:ascii="Arial" w:hAnsi="Arial" w:cs="Arial"/>
          <w:b/>
          <w:sz w:val="24"/>
          <w:szCs w:val="24"/>
        </w:rPr>
        <w:t>Table 2: Existing and Projected HGI Figures</w:t>
      </w:r>
    </w:p>
    <w:tbl>
      <w:tblPr>
        <w:tblStyle w:val="TableGrid"/>
        <w:tblW w:w="0" w:type="auto"/>
        <w:tblInd w:w="720" w:type="dxa"/>
        <w:tblLook w:val="04A0" w:firstRow="1" w:lastRow="0" w:firstColumn="1" w:lastColumn="0" w:noHBand="0" w:noVBand="1"/>
      </w:tblPr>
      <w:tblGrid>
        <w:gridCol w:w="2131"/>
        <w:gridCol w:w="2055"/>
        <w:gridCol w:w="2055"/>
        <w:gridCol w:w="2055"/>
      </w:tblGrid>
      <w:tr w:rsidR="00DC3E57" w:rsidTr="00DC3E57">
        <w:tc>
          <w:tcPr>
            <w:tcW w:w="2254" w:type="dxa"/>
          </w:tcPr>
          <w:p w:rsidR="00DC3E57" w:rsidRPr="00DC3E57" w:rsidRDefault="00DC3E57" w:rsidP="007920C7">
            <w:pPr>
              <w:jc w:val="both"/>
              <w:rPr>
                <w:rFonts w:ascii="Arial" w:hAnsi="Arial" w:cs="Arial"/>
                <w:b/>
                <w:sz w:val="24"/>
                <w:szCs w:val="24"/>
              </w:rPr>
            </w:pPr>
            <w:r w:rsidRPr="00DC3E57">
              <w:rPr>
                <w:rFonts w:ascii="Arial" w:hAnsi="Arial" w:cs="Arial"/>
                <w:b/>
                <w:sz w:val="24"/>
                <w:szCs w:val="24"/>
              </w:rPr>
              <w:t>Former LGD</w:t>
            </w:r>
          </w:p>
        </w:tc>
        <w:tc>
          <w:tcPr>
            <w:tcW w:w="2254" w:type="dxa"/>
          </w:tcPr>
          <w:p w:rsidR="00DC3E57" w:rsidRPr="00DC3E57" w:rsidRDefault="00DC3E57" w:rsidP="007920C7">
            <w:pPr>
              <w:jc w:val="both"/>
              <w:rPr>
                <w:rFonts w:ascii="Arial" w:hAnsi="Arial" w:cs="Arial"/>
                <w:b/>
                <w:sz w:val="24"/>
                <w:szCs w:val="24"/>
              </w:rPr>
            </w:pPr>
            <w:r w:rsidRPr="00DC3E57">
              <w:rPr>
                <w:rFonts w:ascii="Arial" w:hAnsi="Arial" w:cs="Arial"/>
                <w:b/>
                <w:sz w:val="24"/>
                <w:szCs w:val="24"/>
              </w:rPr>
              <w:t>RDS HGI Figure (2008-2025)</w:t>
            </w:r>
          </w:p>
        </w:tc>
        <w:tc>
          <w:tcPr>
            <w:tcW w:w="2254" w:type="dxa"/>
          </w:tcPr>
          <w:p w:rsidR="00DC3E57" w:rsidRPr="00DC3E57" w:rsidRDefault="00DC3E57" w:rsidP="007920C7">
            <w:pPr>
              <w:jc w:val="both"/>
              <w:rPr>
                <w:rFonts w:ascii="Arial" w:hAnsi="Arial" w:cs="Arial"/>
                <w:b/>
                <w:sz w:val="24"/>
                <w:szCs w:val="24"/>
              </w:rPr>
            </w:pPr>
            <w:r w:rsidRPr="00DC3E57">
              <w:rPr>
                <w:rFonts w:ascii="Arial" w:hAnsi="Arial" w:cs="Arial"/>
                <w:b/>
                <w:sz w:val="24"/>
                <w:szCs w:val="24"/>
              </w:rPr>
              <w:t>Per Year/</w:t>
            </w:r>
          </w:p>
          <w:p w:rsidR="00DC3E57" w:rsidRPr="00DC3E57" w:rsidRDefault="00DC3E57" w:rsidP="007920C7">
            <w:pPr>
              <w:jc w:val="both"/>
              <w:rPr>
                <w:rFonts w:ascii="Arial" w:hAnsi="Arial" w:cs="Arial"/>
                <w:b/>
                <w:sz w:val="24"/>
                <w:szCs w:val="24"/>
              </w:rPr>
            </w:pPr>
            <w:r w:rsidRPr="00DC3E57">
              <w:rPr>
                <w:rFonts w:ascii="Arial" w:hAnsi="Arial" w:cs="Arial"/>
                <w:b/>
                <w:sz w:val="24"/>
                <w:szCs w:val="24"/>
              </w:rPr>
              <w:t>Pro Rata Figure</w:t>
            </w:r>
          </w:p>
        </w:tc>
        <w:tc>
          <w:tcPr>
            <w:tcW w:w="2254" w:type="dxa"/>
          </w:tcPr>
          <w:p w:rsidR="00BB2D1F" w:rsidRDefault="00DC3E57" w:rsidP="007920C7">
            <w:pPr>
              <w:jc w:val="both"/>
              <w:rPr>
                <w:rFonts w:ascii="Arial" w:hAnsi="Arial" w:cs="Arial"/>
                <w:b/>
                <w:sz w:val="24"/>
                <w:szCs w:val="24"/>
              </w:rPr>
            </w:pPr>
            <w:r w:rsidRPr="00DC3E57">
              <w:rPr>
                <w:rFonts w:ascii="Arial" w:hAnsi="Arial" w:cs="Arial"/>
                <w:b/>
                <w:sz w:val="24"/>
                <w:szCs w:val="24"/>
              </w:rPr>
              <w:t>HGI Figure 2008-2030</w:t>
            </w:r>
          </w:p>
          <w:p w:rsidR="00DC3E57" w:rsidRPr="00DC3E57" w:rsidRDefault="00DC3E57" w:rsidP="007920C7">
            <w:pPr>
              <w:jc w:val="both"/>
              <w:rPr>
                <w:rFonts w:ascii="Arial" w:hAnsi="Arial" w:cs="Arial"/>
                <w:b/>
                <w:sz w:val="24"/>
                <w:szCs w:val="24"/>
              </w:rPr>
            </w:pPr>
            <w:r w:rsidRPr="00DC3E57">
              <w:rPr>
                <w:rFonts w:ascii="Arial" w:hAnsi="Arial" w:cs="Arial"/>
                <w:b/>
                <w:sz w:val="24"/>
                <w:szCs w:val="24"/>
              </w:rPr>
              <w:t>(Pro Rata X 22)</w:t>
            </w:r>
          </w:p>
        </w:tc>
      </w:tr>
      <w:tr w:rsidR="00DC3E57" w:rsidTr="00DC3E57">
        <w:tc>
          <w:tcPr>
            <w:tcW w:w="2254" w:type="dxa"/>
          </w:tcPr>
          <w:p w:rsidR="00DC3E57" w:rsidRDefault="00DC3E57" w:rsidP="007920C7">
            <w:pPr>
              <w:jc w:val="both"/>
              <w:rPr>
                <w:rFonts w:ascii="Arial" w:hAnsi="Arial" w:cs="Arial"/>
                <w:sz w:val="24"/>
                <w:szCs w:val="24"/>
              </w:rPr>
            </w:pPr>
            <w:r>
              <w:rPr>
                <w:rFonts w:ascii="Arial" w:hAnsi="Arial" w:cs="Arial"/>
                <w:sz w:val="24"/>
                <w:szCs w:val="24"/>
              </w:rPr>
              <w:t>Fermanagh</w:t>
            </w:r>
          </w:p>
        </w:tc>
        <w:tc>
          <w:tcPr>
            <w:tcW w:w="2254" w:type="dxa"/>
          </w:tcPr>
          <w:p w:rsidR="00DC3E57" w:rsidRDefault="00DC3E57" w:rsidP="007920C7">
            <w:pPr>
              <w:jc w:val="both"/>
              <w:rPr>
                <w:rFonts w:ascii="Arial" w:hAnsi="Arial" w:cs="Arial"/>
                <w:sz w:val="24"/>
                <w:szCs w:val="24"/>
              </w:rPr>
            </w:pPr>
            <w:r>
              <w:rPr>
                <w:rFonts w:ascii="Arial" w:hAnsi="Arial" w:cs="Arial"/>
                <w:sz w:val="24"/>
                <w:szCs w:val="24"/>
              </w:rPr>
              <w:t>6,800</w:t>
            </w:r>
          </w:p>
        </w:tc>
        <w:tc>
          <w:tcPr>
            <w:tcW w:w="2254" w:type="dxa"/>
          </w:tcPr>
          <w:p w:rsidR="00DC3E57" w:rsidRDefault="00863812" w:rsidP="007920C7">
            <w:pPr>
              <w:jc w:val="both"/>
              <w:rPr>
                <w:rFonts w:ascii="Arial" w:hAnsi="Arial" w:cs="Arial"/>
                <w:sz w:val="24"/>
                <w:szCs w:val="24"/>
              </w:rPr>
            </w:pPr>
            <w:r>
              <w:rPr>
                <w:rFonts w:ascii="Arial" w:hAnsi="Arial" w:cs="Arial"/>
                <w:sz w:val="24"/>
                <w:szCs w:val="24"/>
              </w:rPr>
              <w:t>400</w:t>
            </w:r>
          </w:p>
        </w:tc>
        <w:tc>
          <w:tcPr>
            <w:tcW w:w="2254" w:type="dxa"/>
          </w:tcPr>
          <w:p w:rsidR="00DC3E57" w:rsidRDefault="00863812" w:rsidP="007920C7">
            <w:pPr>
              <w:jc w:val="both"/>
              <w:rPr>
                <w:rFonts w:ascii="Arial" w:hAnsi="Arial" w:cs="Arial"/>
                <w:sz w:val="24"/>
                <w:szCs w:val="24"/>
              </w:rPr>
            </w:pPr>
            <w:r>
              <w:rPr>
                <w:rFonts w:ascii="Arial" w:hAnsi="Arial" w:cs="Arial"/>
                <w:sz w:val="24"/>
                <w:szCs w:val="24"/>
              </w:rPr>
              <w:t>8,800</w:t>
            </w:r>
          </w:p>
        </w:tc>
      </w:tr>
      <w:tr w:rsidR="00DC3E57" w:rsidTr="00DC3E57">
        <w:tc>
          <w:tcPr>
            <w:tcW w:w="2254" w:type="dxa"/>
          </w:tcPr>
          <w:p w:rsidR="00DC3E57" w:rsidRDefault="00DC3E57" w:rsidP="007920C7">
            <w:pPr>
              <w:jc w:val="both"/>
              <w:rPr>
                <w:rFonts w:ascii="Arial" w:hAnsi="Arial" w:cs="Arial"/>
                <w:sz w:val="24"/>
                <w:szCs w:val="24"/>
              </w:rPr>
            </w:pPr>
            <w:r>
              <w:rPr>
                <w:rFonts w:ascii="Arial" w:hAnsi="Arial" w:cs="Arial"/>
                <w:sz w:val="24"/>
                <w:szCs w:val="24"/>
              </w:rPr>
              <w:t>Omagh</w:t>
            </w:r>
          </w:p>
        </w:tc>
        <w:tc>
          <w:tcPr>
            <w:tcW w:w="2254" w:type="dxa"/>
          </w:tcPr>
          <w:p w:rsidR="00DC3E57" w:rsidRDefault="00DC3E57" w:rsidP="007920C7">
            <w:pPr>
              <w:jc w:val="both"/>
              <w:rPr>
                <w:rFonts w:ascii="Arial" w:hAnsi="Arial" w:cs="Arial"/>
                <w:sz w:val="24"/>
                <w:szCs w:val="24"/>
              </w:rPr>
            </w:pPr>
            <w:r>
              <w:rPr>
                <w:rFonts w:ascii="Arial" w:hAnsi="Arial" w:cs="Arial"/>
                <w:sz w:val="24"/>
                <w:szCs w:val="24"/>
              </w:rPr>
              <w:t>6,100</w:t>
            </w:r>
          </w:p>
        </w:tc>
        <w:tc>
          <w:tcPr>
            <w:tcW w:w="2254" w:type="dxa"/>
          </w:tcPr>
          <w:p w:rsidR="00DC3E57" w:rsidRDefault="00863812" w:rsidP="007920C7">
            <w:pPr>
              <w:jc w:val="both"/>
              <w:rPr>
                <w:rFonts w:ascii="Arial" w:hAnsi="Arial" w:cs="Arial"/>
                <w:sz w:val="24"/>
                <w:szCs w:val="24"/>
              </w:rPr>
            </w:pPr>
            <w:r>
              <w:rPr>
                <w:rFonts w:ascii="Arial" w:hAnsi="Arial" w:cs="Arial"/>
                <w:sz w:val="24"/>
                <w:szCs w:val="24"/>
              </w:rPr>
              <w:t>359</w:t>
            </w:r>
          </w:p>
        </w:tc>
        <w:tc>
          <w:tcPr>
            <w:tcW w:w="2254" w:type="dxa"/>
          </w:tcPr>
          <w:p w:rsidR="00DC3E57" w:rsidRDefault="00863812" w:rsidP="007920C7">
            <w:pPr>
              <w:jc w:val="both"/>
              <w:rPr>
                <w:rFonts w:ascii="Arial" w:hAnsi="Arial" w:cs="Arial"/>
                <w:sz w:val="24"/>
                <w:szCs w:val="24"/>
              </w:rPr>
            </w:pPr>
            <w:r>
              <w:rPr>
                <w:rFonts w:ascii="Arial" w:hAnsi="Arial" w:cs="Arial"/>
                <w:sz w:val="24"/>
                <w:szCs w:val="24"/>
              </w:rPr>
              <w:t>7,898</w:t>
            </w:r>
          </w:p>
        </w:tc>
      </w:tr>
      <w:tr w:rsidR="00DC3E57" w:rsidTr="00DC3E57">
        <w:tc>
          <w:tcPr>
            <w:tcW w:w="2254" w:type="dxa"/>
          </w:tcPr>
          <w:p w:rsidR="00DC3E57" w:rsidRPr="00DC3E57" w:rsidRDefault="00DC3E57" w:rsidP="007920C7">
            <w:pPr>
              <w:jc w:val="both"/>
              <w:rPr>
                <w:rFonts w:ascii="Arial" w:hAnsi="Arial" w:cs="Arial"/>
                <w:b/>
                <w:sz w:val="24"/>
                <w:szCs w:val="24"/>
              </w:rPr>
            </w:pPr>
            <w:r w:rsidRPr="00DC3E57">
              <w:rPr>
                <w:rFonts w:ascii="Arial" w:hAnsi="Arial" w:cs="Arial"/>
                <w:b/>
                <w:sz w:val="24"/>
                <w:szCs w:val="24"/>
              </w:rPr>
              <w:t>Totals</w:t>
            </w:r>
          </w:p>
        </w:tc>
        <w:tc>
          <w:tcPr>
            <w:tcW w:w="2254" w:type="dxa"/>
          </w:tcPr>
          <w:p w:rsidR="00DC3E57" w:rsidRPr="00863812" w:rsidRDefault="00DC3E57" w:rsidP="007920C7">
            <w:pPr>
              <w:jc w:val="both"/>
              <w:rPr>
                <w:rFonts w:ascii="Arial" w:hAnsi="Arial" w:cs="Arial"/>
                <w:b/>
                <w:sz w:val="24"/>
                <w:szCs w:val="24"/>
              </w:rPr>
            </w:pPr>
            <w:r w:rsidRPr="00863812">
              <w:rPr>
                <w:rFonts w:ascii="Arial" w:hAnsi="Arial" w:cs="Arial"/>
                <w:b/>
                <w:sz w:val="24"/>
                <w:szCs w:val="24"/>
              </w:rPr>
              <w:t>12,900</w:t>
            </w:r>
          </w:p>
        </w:tc>
        <w:tc>
          <w:tcPr>
            <w:tcW w:w="2254" w:type="dxa"/>
          </w:tcPr>
          <w:p w:rsidR="00DC3E57" w:rsidRPr="00863812" w:rsidRDefault="00863812" w:rsidP="007920C7">
            <w:pPr>
              <w:jc w:val="both"/>
              <w:rPr>
                <w:rFonts w:ascii="Arial" w:hAnsi="Arial" w:cs="Arial"/>
                <w:b/>
                <w:sz w:val="24"/>
                <w:szCs w:val="24"/>
              </w:rPr>
            </w:pPr>
            <w:r w:rsidRPr="00863812">
              <w:rPr>
                <w:rFonts w:ascii="Arial" w:hAnsi="Arial" w:cs="Arial"/>
                <w:b/>
                <w:sz w:val="24"/>
                <w:szCs w:val="24"/>
              </w:rPr>
              <w:t>759</w:t>
            </w:r>
          </w:p>
        </w:tc>
        <w:tc>
          <w:tcPr>
            <w:tcW w:w="2254" w:type="dxa"/>
          </w:tcPr>
          <w:p w:rsidR="00DC3E57" w:rsidRPr="00863812" w:rsidRDefault="00863812" w:rsidP="007920C7">
            <w:pPr>
              <w:jc w:val="both"/>
              <w:rPr>
                <w:rFonts w:ascii="Arial" w:hAnsi="Arial" w:cs="Arial"/>
                <w:b/>
                <w:sz w:val="24"/>
                <w:szCs w:val="24"/>
              </w:rPr>
            </w:pPr>
            <w:r w:rsidRPr="00863812">
              <w:rPr>
                <w:rFonts w:ascii="Arial" w:hAnsi="Arial" w:cs="Arial"/>
                <w:b/>
                <w:sz w:val="24"/>
                <w:szCs w:val="24"/>
              </w:rPr>
              <w:t>16,698</w:t>
            </w:r>
          </w:p>
        </w:tc>
      </w:tr>
    </w:tbl>
    <w:p w:rsidR="00DC3E57" w:rsidRDefault="00DC3E57" w:rsidP="007920C7">
      <w:pPr>
        <w:spacing w:line="240" w:lineRule="auto"/>
        <w:ind w:left="720" w:hanging="720"/>
        <w:jc w:val="both"/>
        <w:rPr>
          <w:rFonts w:ascii="Arial" w:hAnsi="Arial" w:cs="Arial"/>
          <w:sz w:val="24"/>
          <w:szCs w:val="24"/>
        </w:rPr>
      </w:pPr>
    </w:p>
    <w:p w:rsidR="00863812" w:rsidRDefault="00863812" w:rsidP="007920C7">
      <w:pPr>
        <w:spacing w:line="240" w:lineRule="auto"/>
        <w:ind w:left="720" w:hanging="720"/>
        <w:jc w:val="both"/>
        <w:rPr>
          <w:rFonts w:ascii="Arial" w:hAnsi="Arial" w:cs="Arial"/>
          <w:sz w:val="24"/>
          <w:szCs w:val="24"/>
        </w:rPr>
      </w:pPr>
      <w:r w:rsidRPr="00CF20DD">
        <w:rPr>
          <w:rFonts w:ascii="Arial" w:hAnsi="Arial" w:cs="Arial"/>
          <w:sz w:val="24"/>
          <w:szCs w:val="24"/>
        </w:rPr>
        <w:t>4.4</w:t>
      </w:r>
      <w:r w:rsidRPr="00863812">
        <w:rPr>
          <w:rFonts w:ascii="Arial" w:hAnsi="Arial" w:cs="Arial"/>
          <w:b/>
          <w:sz w:val="24"/>
          <w:szCs w:val="24"/>
        </w:rPr>
        <w:tab/>
      </w:r>
      <w:r>
        <w:rPr>
          <w:rFonts w:ascii="Arial" w:hAnsi="Arial" w:cs="Arial"/>
          <w:sz w:val="24"/>
          <w:szCs w:val="24"/>
        </w:rPr>
        <w:t>Whilst the overall HGI figure between 2008 and 2030 would be 16,698</w:t>
      </w:r>
      <w:r w:rsidR="00D776BD">
        <w:rPr>
          <w:rFonts w:ascii="Arial" w:hAnsi="Arial" w:cs="Arial"/>
          <w:sz w:val="24"/>
          <w:szCs w:val="24"/>
        </w:rPr>
        <w:t xml:space="preserve">, the portion of this coinciding with the plan period 2015-2030 would equate to 11,385 (759 X 15) which is considerably in excess of the household projection figure of 4,337 for the same period. </w:t>
      </w:r>
    </w:p>
    <w:p w:rsidR="00D776BD" w:rsidRDefault="00D776BD" w:rsidP="007920C7">
      <w:pPr>
        <w:spacing w:line="240" w:lineRule="auto"/>
        <w:ind w:left="720" w:hanging="720"/>
        <w:jc w:val="both"/>
        <w:rPr>
          <w:rFonts w:ascii="Arial" w:hAnsi="Arial" w:cs="Arial"/>
          <w:sz w:val="24"/>
          <w:szCs w:val="24"/>
        </w:rPr>
      </w:pPr>
    </w:p>
    <w:p w:rsidR="00D776BD" w:rsidRDefault="00D776BD" w:rsidP="007920C7">
      <w:pPr>
        <w:spacing w:line="240" w:lineRule="auto"/>
        <w:ind w:left="720" w:hanging="720"/>
        <w:jc w:val="both"/>
        <w:rPr>
          <w:rFonts w:ascii="Arial" w:hAnsi="Arial" w:cs="Arial"/>
          <w:b/>
          <w:sz w:val="28"/>
          <w:szCs w:val="28"/>
        </w:rPr>
      </w:pPr>
      <w:r w:rsidRPr="00D776BD">
        <w:rPr>
          <w:rFonts w:ascii="Arial" w:hAnsi="Arial" w:cs="Arial"/>
          <w:b/>
          <w:sz w:val="28"/>
          <w:szCs w:val="28"/>
        </w:rPr>
        <w:t>5.0</w:t>
      </w:r>
      <w:r w:rsidRPr="00D776BD">
        <w:rPr>
          <w:rFonts w:ascii="Arial" w:hAnsi="Arial" w:cs="Arial"/>
          <w:b/>
          <w:sz w:val="28"/>
          <w:szCs w:val="28"/>
        </w:rPr>
        <w:tab/>
        <w:t>Options for Housing Allocation</w:t>
      </w:r>
    </w:p>
    <w:p w:rsidR="00D776BD" w:rsidRDefault="00D776BD" w:rsidP="007920C7">
      <w:pPr>
        <w:spacing w:line="240" w:lineRule="auto"/>
        <w:ind w:left="720" w:hanging="720"/>
        <w:jc w:val="both"/>
        <w:rPr>
          <w:rFonts w:ascii="Arial" w:hAnsi="Arial" w:cs="Arial"/>
          <w:sz w:val="24"/>
          <w:szCs w:val="24"/>
        </w:rPr>
      </w:pPr>
      <w:r w:rsidRPr="00CF20DD">
        <w:rPr>
          <w:rFonts w:ascii="Arial" w:hAnsi="Arial" w:cs="Arial"/>
          <w:sz w:val="24"/>
          <w:szCs w:val="24"/>
        </w:rPr>
        <w:t>5.1</w:t>
      </w:r>
      <w:r>
        <w:rPr>
          <w:rFonts w:ascii="Arial" w:hAnsi="Arial" w:cs="Arial"/>
          <w:sz w:val="24"/>
          <w:szCs w:val="24"/>
        </w:rPr>
        <w:tab/>
      </w:r>
      <w:r w:rsidR="00257F68">
        <w:rPr>
          <w:rFonts w:ascii="Arial" w:hAnsi="Arial" w:cs="Arial"/>
          <w:sz w:val="24"/>
          <w:szCs w:val="24"/>
        </w:rPr>
        <w:t xml:space="preserve">The </w:t>
      </w:r>
      <w:r w:rsidR="00481A89">
        <w:rPr>
          <w:rFonts w:ascii="Arial" w:hAnsi="Arial" w:cs="Arial"/>
          <w:sz w:val="24"/>
          <w:szCs w:val="24"/>
        </w:rPr>
        <w:t xml:space="preserve">Housing </w:t>
      </w:r>
      <w:r w:rsidR="00F318CB">
        <w:rPr>
          <w:rFonts w:ascii="Arial" w:hAnsi="Arial" w:cs="Arial"/>
          <w:sz w:val="24"/>
          <w:szCs w:val="24"/>
        </w:rPr>
        <w:t xml:space="preserve">Paper </w:t>
      </w:r>
      <w:r w:rsidR="00963B44">
        <w:rPr>
          <w:rFonts w:ascii="Arial" w:hAnsi="Arial" w:cs="Arial"/>
          <w:sz w:val="24"/>
          <w:szCs w:val="24"/>
        </w:rPr>
        <w:t>set out what the options were for council when considering housing allocation. That paper stated that the settlement growth strategy which was part of the Population and Growth Paper should be adhered to when deciding how housing should be allocated across the settlement hierarchy. The settlement growth hierarchy aims to:</w:t>
      </w:r>
    </w:p>
    <w:p w:rsidR="00963B44" w:rsidRDefault="00963B44" w:rsidP="00963B44">
      <w:pPr>
        <w:pStyle w:val="ListParagraph"/>
        <w:numPr>
          <w:ilvl w:val="0"/>
          <w:numId w:val="14"/>
        </w:numPr>
        <w:spacing w:line="240" w:lineRule="auto"/>
        <w:jc w:val="both"/>
        <w:rPr>
          <w:rFonts w:ascii="Arial" w:hAnsi="Arial" w:cs="Arial"/>
          <w:sz w:val="24"/>
          <w:szCs w:val="24"/>
        </w:rPr>
      </w:pPr>
      <w:r>
        <w:rPr>
          <w:rFonts w:ascii="Arial" w:hAnsi="Arial" w:cs="Arial"/>
          <w:sz w:val="24"/>
          <w:szCs w:val="24"/>
        </w:rPr>
        <w:t>Focus major population and economic growth on the two main hubs. In terms of housing, this means large scale housing land being zoned in these hubs;</w:t>
      </w:r>
    </w:p>
    <w:p w:rsidR="00963B44" w:rsidRDefault="00963B44" w:rsidP="00963B44">
      <w:pPr>
        <w:pStyle w:val="ListParagraph"/>
        <w:numPr>
          <w:ilvl w:val="0"/>
          <w:numId w:val="14"/>
        </w:numPr>
        <w:spacing w:line="240" w:lineRule="auto"/>
        <w:jc w:val="both"/>
        <w:rPr>
          <w:rFonts w:ascii="Arial" w:hAnsi="Arial" w:cs="Arial"/>
          <w:sz w:val="24"/>
          <w:szCs w:val="24"/>
        </w:rPr>
      </w:pPr>
      <w:r>
        <w:rPr>
          <w:rFonts w:ascii="Arial" w:hAnsi="Arial" w:cs="Arial"/>
          <w:sz w:val="24"/>
          <w:szCs w:val="24"/>
        </w:rPr>
        <w:t>Provide balanced growth in smaller towns with a degree of housing development being provided for;</w:t>
      </w:r>
    </w:p>
    <w:p w:rsidR="00963B44" w:rsidRDefault="00963B44" w:rsidP="00963B44">
      <w:pPr>
        <w:pStyle w:val="ListParagraph"/>
        <w:numPr>
          <w:ilvl w:val="0"/>
          <w:numId w:val="14"/>
        </w:numPr>
        <w:spacing w:line="240" w:lineRule="auto"/>
        <w:jc w:val="both"/>
        <w:rPr>
          <w:rFonts w:ascii="Arial" w:hAnsi="Arial" w:cs="Arial"/>
          <w:sz w:val="24"/>
          <w:szCs w:val="24"/>
        </w:rPr>
      </w:pPr>
      <w:r>
        <w:rPr>
          <w:rFonts w:ascii="Arial" w:hAnsi="Arial" w:cs="Arial"/>
          <w:sz w:val="24"/>
          <w:szCs w:val="24"/>
        </w:rPr>
        <w:t>Maintain villages as important local services centres with small housing developments being acceptable;</w:t>
      </w:r>
    </w:p>
    <w:p w:rsidR="00963B44" w:rsidRDefault="00963B44" w:rsidP="00963B44">
      <w:pPr>
        <w:pStyle w:val="ListParagraph"/>
        <w:numPr>
          <w:ilvl w:val="0"/>
          <w:numId w:val="14"/>
        </w:numPr>
        <w:spacing w:line="240" w:lineRule="auto"/>
        <w:jc w:val="both"/>
        <w:rPr>
          <w:rFonts w:ascii="Arial" w:hAnsi="Arial" w:cs="Arial"/>
          <w:sz w:val="24"/>
          <w:szCs w:val="24"/>
        </w:rPr>
      </w:pPr>
      <w:r>
        <w:rPr>
          <w:rFonts w:ascii="Arial" w:hAnsi="Arial" w:cs="Arial"/>
          <w:sz w:val="24"/>
          <w:szCs w:val="24"/>
        </w:rPr>
        <w:t>Provide opportunities for individual dwellings or small groups of dwellings in the open countryside or in Dispersed Rural Communities.</w:t>
      </w:r>
    </w:p>
    <w:p w:rsidR="000C29AF" w:rsidRPr="00836631" w:rsidRDefault="00963B44" w:rsidP="00836631">
      <w:pPr>
        <w:spacing w:line="240" w:lineRule="auto"/>
        <w:ind w:left="720" w:hanging="720"/>
        <w:jc w:val="both"/>
        <w:rPr>
          <w:rFonts w:ascii="Arial" w:hAnsi="Arial" w:cs="Arial"/>
          <w:sz w:val="24"/>
          <w:szCs w:val="24"/>
        </w:rPr>
      </w:pPr>
      <w:r w:rsidRPr="00CF20DD">
        <w:rPr>
          <w:rFonts w:ascii="Arial" w:hAnsi="Arial" w:cs="Arial"/>
          <w:sz w:val="24"/>
          <w:szCs w:val="24"/>
        </w:rPr>
        <w:t>5.2</w:t>
      </w:r>
      <w:r w:rsidR="00D0294A">
        <w:rPr>
          <w:rFonts w:ascii="Arial" w:hAnsi="Arial" w:cs="Arial"/>
          <w:b/>
          <w:sz w:val="24"/>
          <w:szCs w:val="24"/>
        </w:rPr>
        <w:tab/>
      </w:r>
      <w:r w:rsidR="00D0294A">
        <w:rPr>
          <w:rFonts w:ascii="Arial" w:hAnsi="Arial" w:cs="Arial"/>
          <w:sz w:val="24"/>
          <w:szCs w:val="24"/>
        </w:rPr>
        <w:t>To aid discussion, three options were identified within that paper based on regional policy, existing household levels in 2001 and the propo</w:t>
      </w:r>
      <w:r w:rsidR="000C29AF">
        <w:rPr>
          <w:rFonts w:ascii="Arial" w:hAnsi="Arial" w:cs="Arial"/>
          <w:sz w:val="24"/>
          <w:szCs w:val="24"/>
        </w:rPr>
        <w:t xml:space="preserve">sed settlement growth strategy. In all three options, the proportion for the smaller towns, villages and small </w:t>
      </w:r>
      <w:r w:rsidR="00836631">
        <w:rPr>
          <w:rFonts w:ascii="Arial" w:hAnsi="Arial" w:cs="Arial"/>
          <w:sz w:val="24"/>
          <w:szCs w:val="24"/>
        </w:rPr>
        <w:t>settlements</w:t>
      </w:r>
      <w:r w:rsidR="000C29AF">
        <w:rPr>
          <w:rFonts w:ascii="Arial" w:hAnsi="Arial" w:cs="Arial"/>
          <w:sz w:val="24"/>
          <w:szCs w:val="24"/>
        </w:rPr>
        <w:t xml:space="preserve"> remain</w:t>
      </w:r>
      <w:r w:rsidR="003B252B">
        <w:rPr>
          <w:rFonts w:ascii="Arial" w:hAnsi="Arial" w:cs="Arial"/>
          <w:sz w:val="24"/>
          <w:szCs w:val="24"/>
        </w:rPr>
        <w:t>ed</w:t>
      </w:r>
      <w:r w:rsidR="000C29AF">
        <w:rPr>
          <w:rFonts w:ascii="Arial" w:hAnsi="Arial" w:cs="Arial"/>
          <w:sz w:val="24"/>
          <w:szCs w:val="24"/>
        </w:rPr>
        <w:t xml:space="preserve"> the same</w:t>
      </w:r>
      <w:r w:rsidR="00836631">
        <w:rPr>
          <w:rFonts w:ascii="Arial" w:hAnsi="Arial" w:cs="Arial"/>
          <w:sz w:val="24"/>
          <w:szCs w:val="24"/>
        </w:rPr>
        <w:t xml:space="preserve"> reflecting the need to sustain, consolidate and revitalise these settlements. </w:t>
      </w:r>
      <w:r w:rsidR="003B252B">
        <w:rPr>
          <w:rFonts w:ascii="Arial" w:hAnsi="Arial" w:cs="Arial"/>
          <w:sz w:val="24"/>
          <w:szCs w:val="24"/>
        </w:rPr>
        <w:t xml:space="preserve">Since then, the household figures from the 2011 Census have been released and these options have been revised </w:t>
      </w:r>
      <w:r w:rsidR="00175751">
        <w:rPr>
          <w:rFonts w:ascii="Arial" w:hAnsi="Arial" w:cs="Arial"/>
          <w:sz w:val="24"/>
          <w:szCs w:val="24"/>
        </w:rPr>
        <w:t>as follows:</w:t>
      </w:r>
    </w:p>
    <w:p w:rsidR="00175751" w:rsidRDefault="00175751" w:rsidP="000C29AF">
      <w:pPr>
        <w:spacing w:line="240" w:lineRule="auto"/>
        <w:ind w:left="720"/>
        <w:jc w:val="both"/>
        <w:rPr>
          <w:rFonts w:ascii="Arial" w:hAnsi="Arial" w:cs="Arial"/>
          <w:sz w:val="24"/>
          <w:szCs w:val="24"/>
        </w:rPr>
      </w:pPr>
      <w:r>
        <w:rPr>
          <w:rFonts w:ascii="Arial" w:hAnsi="Arial" w:cs="Arial"/>
          <w:b/>
          <w:sz w:val="24"/>
          <w:szCs w:val="24"/>
        </w:rPr>
        <w:t>OPTION 1</w:t>
      </w:r>
    </w:p>
    <w:p w:rsidR="00175751" w:rsidRDefault="00175751" w:rsidP="00D0294A">
      <w:pPr>
        <w:spacing w:line="240" w:lineRule="auto"/>
        <w:ind w:left="720" w:hanging="720"/>
        <w:jc w:val="both"/>
        <w:rPr>
          <w:rFonts w:ascii="Arial" w:hAnsi="Arial" w:cs="Arial"/>
          <w:sz w:val="24"/>
          <w:szCs w:val="24"/>
        </w:rPr>
      </w:pPr>
      <w:r>
        <w:rPr>
          <w:rFonts w:ascii="Arial" w:hAnsi="Arial" w:cs="Arial"/>
          <w:sz w:val="24"/>
          <w:szCs w:val="24"/>
        </w:rPr>
        <w:tab/>
        <w:t>This option would seek to maintain the status quo in terms of housing allocation in each of the former local government distric</w:t>
      </w:r>
      <w:r w:rsidR="000C29AF">
        <w:rPr>
          <w:rFonts w:ascii="Arial" w:hAnsi="Arial" w:cs="Arial"/>
          <w:sz w:val="24"/>
          <w:szCs w:val="24"/>
        </w:rPr>
        <w:t>t</w:t>
      </w:r>
      <w:r>
        <w:rPr>
          <w:rFonts w:ascii="Arial" w:hAnsi="Arial" w:cs="Arial"/>
          <w:sz w:val="24"/>
          <w:szCs w:val="24"/>
        </w:rPr>
        <w:t>s and would be based on the level of housing in the respective settlement hierarchy categories as per the 2011 Census. This would mean that each settlement would be allocated a share of the new housing allocation based on its existing share in 2011 with the countryside receiving the remainder (Table 1)</w:t>
      </w:r>
      <w:r w:rsidR="002D151E">
        <w:rPr>
          <w:rFonts w:ascii="Arial" w:hAnsi="Arial" w:cs="Arial"/>
          <w:sz w:val="24"/>
          <w:szCs w:val="24"/>
        </w:rPr>
        <w:t xml:space="preserve">. </w:t>
      </w:r>
    </w:p>
    <w:p w:rsidR="006F3178" w:rsidRDefault="006F3178" w:rsidP="00D0294A">
      <w:pPr>
        <w:spacing w:line="240" w:lineRule="auto"/>
        <w:ind w:left="720" w:hanging="720"/>
        <w:jc w:val="both"/>
        <w:rPr>
          <w:rFonts w:ascii="Arial" w:hAnsi="Arial" w:cs="Arial"/>
          <w:sz w:val="24"/>
          <w:szCs w:val="24"/>
        </w:rPr>
      </w:pPr>
    </w:p>
    <w:p w:rsidR="00DA027C" w:rsidRPr="00175751" w:rsidRDefault="00175751" w:rsidP="00DA027C">
      <w:pPr>
        <w:spacing w:line="240" w:lineRule="auto"/>
        <w:ind w:left="720" w:hanging="720"/>
        <w:jc w:val="both"/>
        <w:rPr>
          <w:rFonts w:ascii="Arial" w:hAnsi="Arial" w:cs="Arial"/>
          <w:b/>
          <w:sz w:val="24"/>
          <w:szCs w:val="24"/>
        </w:rPr>
      </w:pPr>
      <w:r>
        <w:rPr>
          <w:rFonts w:ascii="Arial" w:hAnsi="Arial" w:cs="Arial"/>
          <w:sz w:val="24"/>
          <w:szCs w:val="24"/>
        </w:rPr>
        <w:tab/>
      </w:r>
      <w:r w:rsidRPr="00175751">
        <w:rPr>
          <w:rFonts w:ascii="Arial" w:hAnsi="Arial" w:cs="Arial"/>
          <w:b/>
          <w:sz w:val="24"/>
          <w:szCs w:val="24"/>
        </w:rPr>
        <w:t>Tabl</w:t>
      </w:r>
      <w:r w:rsidR="00DA027C">
        <w:rPr>
          <w:rFonts w:ascii="Arial" w:hAnsi="Arial" w:cs="Arial"/>
          <w:b/>
          <w:sz w:val="24"/>
          <w:szCs w:val="24"/>
        </w:rPr>
        <w:t xml:space="preserve">e 1: OPTION 1 </w:t>
      </w:r>
    </w:p>
    <w:tbl>
      <w:tblPr>
        <w:tblStyle w:val="TableGrid"/>
        <w:tblW w:w="0" w:type="auto"/>
        <w:tblInd w:w="720" w:type="dxa"/>
        <w:tblLook w:val="04A0" w:firstRow="1" w:lastRow="0" w:firstColumn="1" w:lastColumn="0" w:noHBand="0" w:noVBand="1"/>
      </w:tblPr>
      <w:tblGrid>
        <w:gridCol w:w="2069"/>
        <w:gridCol w:w="2026"/>
        <w:gridCol w:w="2093"/>
        <w:gridCol w:w="2108"/>
      </w:tblGrid>
      <w:tr w:rsidR="00DA027C" w:rsidTr="00B8569B">
        <w:tc>
          <w:tcPr>
            <w:tcW w:w="2069" w:type="dxa"/>
          </w:tcPr>
          <w:p w:rsidR="00DA027C" w:rsidRDefault="000C29AF" w:rsidP="00D0294A">
            <w:pPr>
              <w:jc w:val="both"/>
              <w:rPr>
                <w:rFonts w:ascii="Arial" w:hAnsi="Arial" w:cs="Arial"/>
                <w:b/>
                <w:sz w:val="24"/>
                <w:szCs w:val="24"/>
              </w:rPr>
            </w:pPr>
            <w:r>
              <w:rPr>
                <w:rFonts w:ascii="Arial" w:hAnsi="Arial" w:cs="Arial"/>
                <w:b/>
                <w:sz w:val="24"/>
                <w:szCs w:val="24"/>
              </w:rPr>
              <w:t>Settlement Category</w:t>
            </w:r>
          </w:p>
        </w:tc>
        <w:tc>
          <w:tcPr>
            <w:tcW w:w="2026" w:type="dxa"/>
          </w:tcPr>
          <w:p w:rsidR="00DA027C" w:rsidRDefault="00DA027C" w:rsidP="00D0294A">
            <w:pPr>
              <w:jc w:val="both"/>
              <w:rPr>
                <w:rFonts w:ascii="Arial" w:hAnsi="Arial" w:cs="Arial"/>
                <w:b/>
                <w:sz w:val="24"/>
                <w:szCs w:val="24"/>
              </w:rPr>
            </w:pPr>
            <w:r>
              <w:rPr>
                <w:rFonts w:ascii="Arial" w:hAnsi="Arial" w:cs="Arial"/>
                <w:b/>
                <w:sz w:val="24"/>
                <w:szCs w:val="24"/>
              </w:rPr>
              <w:t>Main Towns</w:t>
            </w:r>
          </w:p>
        </w:tc>
        <w:tc>
          <w:tcPr>
            <w:tcW w:w="2093" w:type="dxa"/>
          </w:tcPr>
          <w:p w:rsidR="00DA027C" w:rsidRDefault="00DA027C" w:rsidP="00D0294A">
            <w:pPr>
              <w:jc w:val="both"/>
              <w:rPr>
                <w:rFonts w:ascii="Arial" w:hAnsi="Arial" w:cs="Arial"/>
                <w:b/>
                <w:sz w:val="24"/>
                <w:szCs w:val="24"/>
              </w:rPr>
            </w:pPr>
            <w:r>
              <w:rPr>
                <w:rFonts w:ascii="Arial" w:hAnsi="Arial" w:cs="Arial"/>
                <w:b/>
                <w:sz w:val="24"/>
                <w:szCs w:val="24"/>
              </w:rPr>
              <w:t>Smaller Towns/ Villages/Small Settlements</w:t>
            </w:r>
          </w:p>
        </w:tc>
        <w:tc>
          <w:tcPr>
            <w:tcW w:w="2108" w:type="dxa"/>
          </w:tcPr>
          <w:p w:rsidR="00DA027C" w:rsidRDefault="00DA027C" w:rsidP="00D0294A">
            <w:pPr>
              <w:jc w:val="both"/>
              <w:rPr>
                <w:rFonts w:ascii="Arial" w:hAnsi="Arial" w:cs="Arial"/>
                <w:b/>
                <w:sz w:val="24"/>
                <w:szCs w:val="24"/>
              </w:rPr>
            </w:pPr>
            <w:r>
              <w:rPr>
                <w:rFonts w:ascii="Arial" w:hAnsi="Arial" w:cs="Arial"/>
                <w:b/>
                <w:sz w:val="24"/>
                <w:szCs w:val="24"/>
              </w:rPr>
              <w:t>Countryside</w:t>
            </w:r>
          </w:p>
        </w:tc>
      </w:tr>
      <w:tr w:rsidR="00DA027C" w:rsidTr="00B8569B">
        <w:tc>
          <w:tcPr>
            <w:tcW w:w="2069" w:type="dxa"/>
          </w:tcPr>
          <w:p w:rsidR="00DA027C" w:rsidRDefault="000C29AF" w:rsidP="00D0294A">
            <w:pPr>
              <w:jc w:val="both"/>
              <w:rPr>
                <w:rFonts w:ascii="Arial" w:hAnsi="Arial" w:cs="Arial"/>
                <w:b/>
                <w:sz w:val="24"/>
                <w:szCs w:val="24"/>
              </w:rPr>
            </w:pPr>
            <w:r>
              <w:rPr>
                <w:rFonts w:ascii="Arial" w:hAnsi="Arial" w:cs="Arial"/>
                <w:b/>
                <w:sz w:val="24"/>
                <w:szCs w:val="24"/>
              </w:rPr>
              <w:t>% of HGI</w:t>
            </w:r>
          </w:p>
          <w:p w:rsidR="00DA027C" w:rsidRDefault="00DA027C" w:rsidP="00D0294A">
            <w:pPr>
              <w:jc w:val="both"/>
              <w:rPr>
                <w:rFonts w:ascii="Arial" w:hAnsi="Arial" w:cs="Arial"/>
                <w:b/>
                <w:sz w:val="24"/>
                <w:szCs w:val="24"/>
              </w:rPr>
            </w:pPr>
          </w:p>
        </w:tc>
        <w:tc>
          <w:tcPr>
            <w:tcW w:w="2026" w:type="dxa"/>
          </w:tcPr>
          <w:p w:rsidR="00DA027C" w:rsidRDefault="00835568" w:rsidP="00D0294A">
            <w:pPr>
              <w:jc w:val="both"/>
              <w:rPr>
                <w:rFonts w:ascii="Arial" w:hAnsi="Arial" w:cs="Arial"/>
                <w:b/>
                <w:sz w:val="24"/>
                <w:szCs w:val="24"/>
              </w:rPr>
            </w:pPr>
            <w:r>
              <w:rPr>
                <w:rFonts w:ascii="Arial" w:hAnsi="Arial" w:cs="Arial"/>
                <w:b/>
                <w:sz w:val="24"/>
                <w:szCs w:val="24"/>
              </w:rPr>
              <w:t>33%</w:t>
            </w:r>
          </w:p>
        </w:tc>
        <w:tc>
          <w:tcPr>
            <w:tcW w:w="2093" w:type="dxa"/>
          </w:tcPr>
          <w:p w:rsidR="00DA027C" w:rsidRDefault="00831FA8" w:rsidP="00D0294A">
            <w:pPr>
              <w:jc w:val="both"/>
              <w:rPr>
                <w:rFonts w:ascii="Arial" w:hAnsi="Arial" w:cs="Arial"/>
                <w:b/>
                <w:sz w:val="24"/>
                <w:szCs w:val="24"/>
              </w:rPr>
            </w:pPr>
            <w:r>
              <w:rPr>
                <w:rFonts w:ascii="Arial" w:hAnsi="Arial" w:cs="Arial"/>
                <w:b/>
                <w:sz w:val="24"/>
                <w:szCs w:val="24"/>
              </w:rPr>
              <w:t>26.2</w:t>
            </w:r>
            <w:r w:rsidR="00835568">
              <w:rPr>
                <w:rFonts w:ascii="Arial" w:hAnsi="Arial" w:cs="Arial"/>
                <w:b/>
                <w:sz w:val="24"/>
                <w:szCs w:val="24"/>
              </w:rPr>
              <w:t>%</w:t>
            </w:r>
          </w:p>
        </w:tc>
        <w:tc>
          <w:tcPr>
            <w:tcW w:w="2108" w:type="dxa"/>
          </w:tcPr>
          <w:p w:rsidR="00DA027C" w:rsidRDefault="00831FA8" w:rsidP="00D0294A">
            <w:pPr>
              <w:jc w:val="both"/>
              <w:rPr>
                <w:rFonts w:ascii="Arial" w:hAnsi="Arial" w:cs="Arial"/>
                <w:b/>
                <w:sz w:val="24"/>
                <w:szCs w:val="24"/>
              </w:rPr>
            </w:pPr>
            <w:r>
              <w:rPr>
                <w:rFonts w:ascii="Arial" w:hAnsi="Arial" w:cs="Arial"/>
                <w:b/>
                <w:sz w:val="24"/>
                <w:szCs w:val="24"/>
              </w:rPr>
              <w:t>40.8</w:t>
            </w:r>
            <w:r w:rsidR="00835568">
              <w:rPr>
                <w:rFonts w:ascii="Arial" w:hAnsi="Arial" w:cs="Arial"/>
                <w:b/>
                <w:sz w:val="24"/>
                <w:szCs w:val="24"/>
              </w:rPr>
              <w:t>%</w:t>
            </w:r>
          </w:p>
        </w:tc>
      </w:tr>
    </w:tbl>
    <w:p w:rsidR="00175751" w:rsidRDefault="00175751" w:rsidP="00D0294A">
      <w:pPr>
        <w:spacing w:line="240" w:lineRule="auto"/>
        <w:ind w:left="720" w:hanging="720"/>
        <w:jc w:val="both"/>
        <w:rPr>
          <w:rFonts w:ascii="Arial" w:hAnsi="Arial" w:cs="Arial"/>
          <w:b/>
          <w:sz w:val="24"/>
          <w:szCs w:val="24"/>
        </w:rPr>
      </w:pPr>
    </w:p>
    <w:p w:rsidR="00DA027C" w:rsidRDefault="00DA027C" w:rsidP="00D0294A">
      <w:pPr>
        <w:spacing w:line="240" w:lineRule="auto"/>
        <w:ind w:left="720" w:hanging="720"/>
        <w:jc w:val="both"/>
        <w:rPr>
          <w:rFonts w:ascii="Arial" w:hAnsi="Arial" w:cs="Arial"/>
          <w:b/>
          <w:sz w:val="24"/>
          <w:szCs w:val="24"/>
        </w:rPr>
      </w:pPr>
      <w:r>
        <w:rPr>
          <w:rFonts w:ascii="Arial" w:hAnsi="Arial" w:cs="Arial"/>
          <w:b/>
          <w:sz w:val="24"/>
          <w:szCs w:val="24"/>
        </w:rPr>
        <w:tab/>
        <w:t>OPTION 2</w:t>
      </w:r>
    </w:p>
    <w:p w:rsidR="00DA027C" w:rsidRDefault="00DA027C" w:rsidP="00DF667D">
      <w:pPr>
        <w:spacing w:line="240" w:lineRule="auto"/>
        <w:ind w:left="720" w:hanging="720"/>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This option would seek to directly meet the RDS target of 60% all new housing to be located in the two main hubs of Enniskillen and Omagh. The proportion for the smaller towns, villages and small settlements remains the same as the existing share of households in 2011, with the remaining balance allocated to the countryside. This would result in </w:t>
      </w:r>
      <w:r w:rsidR="004064F2">
        <w:rPr>
          <w:rFonts w:ascii="Arial" w:hAnsi="Arial" w:cs="Arial"/>
          <w:sz w:val="24"/>
          <w:szCs w:val="24"/>
        </w:rPr>
        <w:t>13.8</w:t>
      </w:r>
      <w:r>
        <w:rPr>
          <w:rFonts w:ascii="Arial" w:hAnsi="Arial" w:cs="Arial"/>
          <w:sz w:val="24"/>
          <w:szCs w:val="24"/>
        </w:rPr>
        <w:t>% being allocated to the coun</w:t>
      </w:r>
      <w:r w:rsidR="00DF667D">
        <w:rPr>
          <w:rFonts w:ascii="Arial" w:hAnsi="Arial" w:cs="Arial"/>
          <w:sz w:val="24"/>
          <w:szCs w:val="24"/>
        </w:rPr>
        <w:t>tryside (Table 2).</w:t>
      </w:r>
    </w:p>
    <w:p w:rsidR="00DA027C" w:rsidRPr="00DA027C" w:rsidRDefault="00DA027C" w:rsidP="00DA027C">
      <w:pPr>
        <w:spacing w:line="240" w:lineRule="auto"/>
        <w:ind w:left="720" w:hanging="720"/>
        <w:jc w:val="both"/>
        <w:rPr>
          <w:rFonts w:ascii="Arial" w:hAnsi="Arial" w:cs="Arial"/>
          <w:b/>
          <w:sz w:val="24"/>
          <w:szCs w:val="24"/>
        </w:rPr>
      </w:pPr>
      <w:r>
        <w:rPr>
          <w:rFonts w:ascii="Arial" w:hAnsi="Arial" w:cs="Arial"/>
          <w:sz w:val="24"/>
          <w:szCs w:val="24"/>
        </w:rPr>
        <w:tab/>
      </w:r>
      <w:r w:rsidRPr="00DA027C">
        <w:rPr>
          <w:rFonts w:ascii="Arial" w:hAnsi="Arial" w:cs="Arial"/>
          <w:b/>
          <w:sz w:val="24"/>
          <w:szCs w:val="24"/>
        </w:rPr>
        <w:t>Table 2: OPTION 2</w:t>
      </w:r>
    </w:p>
    <w:tbl>
      <w:tblPr>
        <w:tblStyle w:val="TableGrid"/>
        <w:tblW w:w="0" w:type="auto"/>
        <w:tblInd w:w="720" w:type="dxa"/>
        <w:tblLayout w:type="fixed"/>
        <w:tblLook w:val="04A0" w:firstRow="1" w:lastRow="0" w:firstColumn="1" w:lastColumn="0" w:noHBand="0" w:noVBand="1"/>
      </w:tblPr>
      <w:tblGrid>
        <w:gridCol w:w="1827"/>
        <w:gridCol w:w="2268"/>
        <w:gridCol w:w="2126"/>
        <w:gridCol w:w="2075"/>
      </w:tblGrid>
      <w:tr w:rsidR="00DA027C" w:rsidTr="00B8569B">
        <w:tc>
          <w:tcPr>
            <w:tcW w:w="1827" w:type="dxa"/>
          </w:tcPr>
          <w:p w:rsidR="00DA027C" w:rsidRDefault="000C29AF" w:rsidP="00D0294A">
            <w:pPr>
              <w:jc w:val="both"/>
              <w:rPr>
                <w:rFonts w:ascii="Arial" w:hAnsi="Arial" w:cs="Arial"/>
                <w:b/>
                <w:sz w:val="24"/>
                <w:szCs w:val="24"/>
              </w:rPr>
            </w:pPr>
            <w:r>
              <w:rPr>
                <w:rFonts w:ascii="Arial" w:hAnsi="Arial" w:cs="Arial"/>
                <w:b/>
                <w:sz w:val="24"/>
                <w:szCs w:val="24"/>
              </w:rPr>
              <w:t>Settlement Category</w:t>
            </w:r>
          </w:p>
        </w:tc>
        <w:tc>
          <w:tcPr>
            <w:tcW w:w="2268" w:type="dxa"/>
          </w:tcPr>
          <w:p w:rsidR="00DA027C" w:rsidRDefault="00DA027C" w:rsidP="00D0294A">
            <w:pPr>
              <w:jc w:val="both"/>
              <w:rPr>
                <w:rFonts w:ascii="Arial" w:hAnsi="Arial" w:cs="Arial"/>
                <w:b/>
                <w:sz w:val="24"/>
                <w:szCs w:val="24"/>
              </w:rPr>
            </w:pPr>
            <w:r>
              <w:rPr>
                <w:rFonts w:ascii="Arial" w:hAnsi="Arial" w:cs="Arial"/>
                <w:b/>
                <w:sz w:val="24"/>
                <w:szCs w:val="24"/>
              </w:rPr>
              <w:t>Main Towns</w:t>
            </w:r>
          </w:p>
        </w:tc>
        <w:tc>
          <w:tcPr>
            <w:tcW w:w="2126" w:type="dxa"/>
          </w:tcPr>
          <w:p w:rsidR="00B8569B" w:rsidRDefault="00DA027C" w:rsidP="00D0294A">
            <w:pPr>
              <w:jc w:val="both"/>
              <w:rPr>
                <w:rFonts w:ascii="Arial" w:hAnsi="Arial" w:cs="Arial"/>
                <w:b/>
                <w:sz w:val="24"/>
                <w:szCs w:val="24"/>
              </w:rPr>
            </w:pPr>
            <w:r>
              <w:rPr>
                <w:rFonts w:ascii="Arial" w:hAnsi="Arial" w:cs="Arial"/>
                <w:b/>
                <w:sz w:val="24"/>
                <w:szCs w:val="24"/>
              </w:rPr>
              <w:t>Smaller Towns/</w:t>
            </w:r>
          </w:p>
          <w:p w:rsidR="00DA027C" w:rsidRDefault="00DA027C" w:rsidP="00D0294A">
            <w:pPr>
              <w:jc w:val="both"/>
              <w:rPr>
                <w:rFonts w:ascii="Arial" w:hAnsi="Arial" w:cs="Arial"/>
                <w:b/>
                <w:sz w:val="24"/>
                <w:szCs w:val="24"/>
              </w:rPr>
            </w:pPr>
            <w:r>
              <w:rPr>
                <w:rFonts w:ascii="Arial" w:hAnsi="Arial" w:cs="Arial"/>
                <w:b/>
                <w:sz w:val="24"/>
                <w:szCs w:val="24"/>
              </w:rPr>
              <w:t>Villages/Small Settlements</w:t>
            </w:r>
          </w:p>
        </w:tc>
        <w:tc>
          <w:tcPr>
            <w:tcW w:w="2075" w:type="dxa"/>
          </w:tcPr>
          <w:p w:rsidR="00DA027C" w:rsidRDefault="00DA027C" w:rsidP="00D0294A">
            <w:pPr>
              <w:jc w:val="both"/>
              <w:rPr>
                <w:rFonts w:ascii="Arial" w:hAnsi="Arial" w:cs="Arial"/>
                <w:b/>
                <w:sz w:val="24"/>
                <w:szCs w:val="24"/>
              </w:rPr>
            </w:pPr>
            <w:r>
              <w:rPr>
                <w:rFonts w:ascii="Arial" w:hAnsi="Arial" w:cs="Arial"/>
                <w:b/>
                <w:sz w:val="24"/>
                <w:szCs w:val="24"/>
              </w:rPr>
              <w:t>Countryside</w:t>
            </w:r>
          </w:p>
          <w:p w:rsidR="00DA027C" w:rsidRDefault="00DA027C" w:rsidP="00D0294A">
            <w:pPr>
              <w:jc w:val="both"/>
              <w:rPr>
                <w:rFonts w:ascii="Arial" w:hAnsi="Arial" w:cs="Arial"/>
                <w:b/>
                <w:sz w:val="24"/>
                <w:szCs w:val="24"/>
              </w:rPr>
            </w:pPr>
          </w:p>
        </w:tc>
      </w:tr>
      <w:tr w:rsidR="00DA027C" w:rsidTr="00B8569B">
        <w:tc>
          <w:tcPr>
            <w:tcW w:w="1827" w:type="dxa"/>
          </w:tcPr>
          <w:p w:rsidR="00DA027C" w:rsidRDefault="000C29AF" w:rsidP="00D0294A">
            <w:pPr>
              <w:jc w:val="both"/>
              <w:rPr>
                <w:rFonts w:ascii="Arial" w:hAnsi="Arial" w:cs="Arial"/>
                <w:b/>
                <w:sz w:val="24"/>
                <w:szCs w:val="24"/>
              </w:rPr>
            </w:pPr>
            <w:r>
              <w:rPr>
                <w:rFonts w:ascii="Arial" w:hAnsi="Arial" w:cs="Arial"/>
                <w:b/>
                <w:sz w:val="24"/>
                <w:szCs w:val="24"/>
              </w:rPr>
              <w:t>% of HGI</w:t>
            </w:r>
          </w:p>
          <w:p w:rsidR="00DA027C" w:rsidRDefault="00DA027C" w:rsidP="00D0294A">
            <w:pPr>
              <w:jc w:val="both"/>
              <w:rPr>
                <w:rFonts w:ascii="Arial" w:hAnsi="Arial" w:cs="Arial"/>
                <w:b/>
                <w:sz w:val="24"/>
                <w:szCs w:val="24"/>
              </w:rPr>
            </w:pPr>
          </w:p>
        </w:tc>
        <w:tc>
          <w:tcPr>
            <w:tcW w:w="2268" w:type="dxa"/>
          </w:tcPr>
          <w:p w:rsidR="00DA027C" w:rsidRDefault="00A2081F" w:rsidP="00D0294A">
            <w:pPr>
              <w:jc w:val="both"/>
              <w:rPr>
                <w:rFonts w:ascii="Arial" w:hAnsi="Arial" w:cs="Arial"/>
                <w:b/>
                <w:sz w:val="24"/>
                <w:szCs w:val="24"/>
              </w:rPr>
            </w:pPr>
            <w:r>
              <w:rPr>
                <w:rFonts w:ascii="Arial" w:hAnsi="Arial" w:cs="Arial"/>
                <w:b/>
                <w:sz w:val="24"/>
                <w:szCs w:val="24"/>
              </w:rPr>
              <w:t>60%</w:t>
            </w:r>
          </w:p>
        </w:tc>
        <w:tc>
          <w:tcPr>
            <w:tcW w:w="2126" w:type="dxa"/>
          </w:tcPr>
          <w:p w:rsidR="00DA027C" w:rsidRDefault="004064F2" w:rsidP="00D0294A">
            <w:pPr>
              <w:jc w:val="both"/>
              <w:rPr>
                <w:rFonts w:ascii="Arial" w:hAnsi="Arial" w:cs="Arial"/>
                <w:b/>
                <w:sz w:val="24"/>
                <w:szCs w:val="24"/>
              </w:rPr>
            </w:pPr>
            <w:r>
              <w:rPr>
                <w:rFonts w:ascii="Arial" w:hAnsi="Arial" w:cs="Arial"/>
                <w:b/>
                <w:sz w:val="24"/>
                <w:szCs w:val="24"/>
              </w:rPr>
              <w:t>26.2</w:t>
            </w:r>
            <w:r w:rsidR="00A2081F">
              <w:rPr>
                <w:rFonts w:ascii="Arial" w:hAnsi="Arial" w:cs="Arial"/>
                <w:b/>
                <w:sz w:val="24"/>
                <w:szCs w:val="24"/>
              </w:rPr>
              <w:t>%</w:t>
            </w:r>
            <w:r w:rsidR="000C51F3">
              <w:rPr>
                <w:rFonts w:ascii="Arial" w:hAnsi="Arial" w:cs="Arial"/>
                <w:b/>
                <w:sz w:val="24"/>
                <w:szCs w:val="24"/>
              </w:rPr>
              <w:t xml:space="preserve"> </w:t>
            </w:r>
          </w:p>
        </w:tc>
        <w:tc>
          <w:tcPr>
            <w:tcW w:w="2075" w:type="dxa"/>
          </w:tcPr>
          <w:p w:rsidR="00DA027C" w:rsidRDefault="004064F2" w:rsidP="00D0294A">
            <w:pPr>
              <w:jc w:val="both"/>
              <w:rPr>
                <w:rFonts w:ascii="Arial" w:hAnsi="Arial" w:cs="Arial"/>
                <w:b/>
                <w:sz w:val="24"/>
                <w:szCs w:val="24"/>
              </w:rPr>
            </w:pPr>
            <w:r>
              <w:rPr>
                <w:rFonts w:ascii="Arial" w:hAnsi="Arial" w:cs="Arial"/>
                <w:b/>
                <w:sz w:val="24"/>
                <w:szCs w:val="24"/>
              </w:rPr>
              <w:t>13.8</w:t>
            </w:r>
            <w:r w:rsidR="00A2081F">
              <w:rPr>
                <w:rFonts w:ascii="Arial" w:hAnsi="Arial" w:cs="Arial"/>
                <w:b/>
                <w:sz w:val="24"/>
                <w:szCs w:val="24"/>
              </w:rPr>
              <w:t>%</w:t>
            </w:r>
            <w:r w:rsidR="000C51F3">
              <w:rPr>
                <w:rFonts w:ascii="Arial" w:hAnsi="Arial" w:cs="Arial"/>
                <w:b/>
                <w:sz w:val="24"/>
                <w:szCs w:val="24"/>
              </w:rPr>
              <w:t xml:space="preserve"> </w:t>
            </w:r>
          </w:p>
        </w:tc>
      </w:tr>
    </w:tbl>
    <w:p w:rsidR="00DA027C" w:rsidRDefault="00DA027C" w:rsidP="00DF667D">
      <w:pPr>
        <w:spacing w:line="240" w:lineRule="auto"/>
        <w:jc w:val="both"/>
        <w:rPr>
          <w:rFonts w:ascii="Arial" w:hAnsi="Arial" w:cs="Arial"/>
          <w:b/>
          <w:sz w:val="24"/>
          <w:szCs w:val="24"/>
        </w:rPr>
      </w:pPr>
    </w:p>
    <w:p w:rsidR="006F3178" w:rsidRDefault="006F3178" w:rsidP="000C51F3">
      <w:pPr>
        <w:spacing w:line="240" w:lineRule="auto"/>
        <w:jc w:val="both"/>
        <w:rPr>
          <w:rFonts w:ascii="Arial" w:hAnsi="Arial" w:cs="Arial"/>
          <w:b/>
          <w:sz w:val="24"/>
          <w:szCs w:val="24"/>
        </w:rPr>
      </w:pPr>
    </w:p>
    <w:p w:rsidR="000C51F3" w:rsidRDefault="000C51F3" w:rsidP="000C51F3">
      <w:pPr>
        <w:spacing w:line="240" w:lineRule="auto"/>
        <w:jc w:val="both"/>
        <w:rPr>
          <w:rFonts w:ascii="Arial" w:hAnsi="Arial" w:cs="Arial"/>
          <w:b/>
          <w:sz w:val="24"/>
          <w:szCs w:val="24"/>
        </w:rPr>
      </w:pPr>
    </w:p>
    <w:p w:rsidR="00DA027C" w:rsidRDefault="00DA027C" w:rsidP="006F3178">
      <w:pPr>
        <w:spacing w:line="240" w:lineRule="auto"/>
        <w:ind w:left="720"/>
        <w:jc w:val="both"/>
        <w:rPr>
          <w:rFonts w:ascii="Arial" w:hAnsi="Arial" w:cs="Arial"/>
          <w:b/>
          <w:sz w:val="24"/>
          <w:szCs w:val="24"/>
        </w:rPr>
      </w:pPr>
      <w:r>
        <w:rPr>
          <w:rFonts w:ascii="Arial" w:hAnsi="Arial" w:cs="Arial"/>
          <w:b/>
          <w:sz w:val="24"/>
          <w:szCs w:val="24"/>
        </w:rPr>
        <w:t>OPTION 3</w:t>
      </w:r>
    </w:p>
    <w:p w:rsidR="00DF667D" w:rsidRDefault="00DA027C" w:rsidP="00DF667D">
      <w:pPr>
        <w:spacing w:line="240" w:lineRule="auto"/>
        <w:ind w:left="720" w:hanging="720"/>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This option would seek to achieve a balance between options 1 and 2 in order to endeavour to strive to meet regional policy growth </w:t>
      </w:r>
      <w:r w:rsidR="00DF667D">
        <w:rPr>
          <w:rFonts w:ascii="Arial" w:hAnsi="Arial" w:cs="Arial"/>
          <w:sz w:val="24"/>
          <w:szCs w:val="24"/>
        </w:rPr>
        <w:t>by still focusing on the hubs but at a less</w:t>
      </w:r>
      <w:r w:rsidR="003B252B">
        <w:rPr>
          <w:rFonts w:ascii="Arial" w:hAnsi="Arial" w:cs="Arial"/>
          <w:sz w:val="24"/>
          <w:szCs w:val="24"/>
        </w:rPr>
        <w:t>er</w:t>
      </w:r>
      <w:r w:rsidR="00DF667D">
        <w:rPr>
          <w:rFonts w:ascii="Arial" w:hAnsi="Arial" w:cs="Arial"/>
          <w:sz w:val="24"/>
          <w:szCs w:val="24"/>
        </w:rPr>
        <w:t xml:space="preserve"> figure than the 60%, and sustaining the smaller settlements and the countryside in accordance with the growth strategy.  Thus, the main towns w</w:t>
      </w:r>
      <w:r w:rsidR="009B4795">
        <w:rPr>
          <w:rFonts w:ascii="Arial" w:hAnsi="Arial" w:cs="Arial"/>
          <w:sz w:val="24"/>
          <w:szCs w:val="24"/>
        </w:rPr>
        <w:t>ould receive an allocation of 46.5</w:t>
      </w:r>
      <w:r w:rsidR="00DF667D">
        <w:rPr>
          <w:rFonts w:ascii="Arial" w:hAnsi="Arial" w:cs="Arial"/>
          <w:sz w:val="24"/>
          <w:szCs w:val="24"/>
        </w:rPr>
        <w:t>%, the proportion to smaller towns and villages and small settlements remains the same with the remainder being allocated to the countryside (Table 3).</w:t>
      </w:r>
    </w:p>
    <w:p w:rsidR="00A2081F" w:rsidRDefault="00A2081F" w:rsidP="00507775">
      <w:pPr>
        <w:spacing w:line="240" w:lineRule="auto"/>
        <w:ind w:left="720" w:hanging="720"/>
        <w:jc w:val="both"/>
        <w:rPr>
          <w:rFonts w:ascii="Arial" w:hAnsi="Arial" w:cs="Arial"/>
          <w:sz w:val="24"/>
          <w:szCs w:val="24"/>
        </w:rPr>
      </w:pPr>
    </w:p>
    <w:p w:rsidR="00DF667D" w:rsidRPr="00DF667D" w:rsidRDefault="00DF667D" w:rsidP="00DF667D">
      <w:pPr>
        <w:spacing w:line="240" w:lineRule="auto"/>
        <w:ind w:left="720"/>
        <w:jc w:val="both"/>
        <w:rPr>
          <w:rFonts w:ascii="Arial" w:hAnsi="Arial" w:cs="Arial"/>
          <w:b/>
          <w:sz w:val="24"/>
          <w:szCs w:val="24"/>
        </w:rPr>
      </w:pPr>
      <w:r w:rsidRPr="00DF667D">
        <w:rPr>
          <w:rFonts w:ascii="Arial" w:hAnsi="Arial" w:cs="Arial"/>
          <w:b/>
          <w:sz w:val="24"/>
          <w:szCs w:val="24"/>
        </w:rPr>
        <w:t>Table 3: OPTION 3</w:t>
      </w:r>
    </w:p>
    <w:tbl>
      <w:tblPr>
        <w:tblStyle w:val="TableGrid"/>
        <w:tblW w:w="0" w:type="auto"/>
        <w:tblInd w:w="720" w:type="dxa"/>
        <w:tblLayout w:type="fixed"/>
        <w:tblLook w:val="04A0" w:firstRow="1" w:lastRow="0" w:firstColumn="1" w:lastColumn="0" w:noHBand="0" w:noVBand="1"/>
      </w:tblPr>
      <w:tblGrid>
        <w:gridCol w:w="1900"/>
        <w:gridCol w:w="2195"/>
        <w:gridCol w:w="2126"/>
        <w:gridCol w:w="2075"/>
      </w:tblGrid>
      <w:tr w:rsidR="00DF667D" w:rsidTr="00B8569B">
        <w:tc>
          <w:tcPr>
            <w:tcW w:w="1900" w:type="dxa"/>
          </w:tcPr>
          <w:p w:rsidR="00DF667D" w:rsidRDefault="000C29AF" w:rsidP="00D0294A">
            <w:pPr>
              <w:jc w:val="both"/>
              <w:rPr>
                <w:rFonts w:ascii="Arial" w:hAnsi="Arial" w:cs="Arial"/>
                <w:b/>
                <w:sz w:val="24"/>
                <w:szCs w:val="24"/>
              </w:rPr>
            </w:pPr>
            <w:r>
              <w:rPr>
                <w:rFonts w:ascii="Arial" w:hAnsi="Arial" w:cs="Arial"/>
                <w:b/>
                <w:sz w:val="24"/>
                <w:szCs w:val="24"/>
              </w:rPr>
              <w:t>Settlement Category</w:t>
            </w:r>
          </w:p>
        </w:tc>
        <w:tc>
          <w:tcPr>
            <w:tcW w:w="2195" w:type="dxa"/>
          </w:tcPr>
          <w:p w:rsidR="00DF667D" w:rsidRDefault="00DF667D" w:rsidP="00D0294A">
            <w:pPr>
              <w:jc w:val="both"/>
              <w:rPr>
                <w:rFonts w:ascii="Arial" w:hAnsi="Arial" w:cs="Arial"/>
                <w:b/>
                <w:sz w:val="24"/>
                <w:szCs w:val="24"/>
              </w:rPr>
            </w:pPr>
            <w:r>
              <w:rPr>
                <w:rFonts w:ascii="Arial" w:hAnsi="Arial" w:cs="Arial"/>
                <w:b/>
                <w:sz w:val="24"/>
                <w:szCs w:val="24"/>
              </w:rPr>
              <w:t>Main Towns</w:t>
            </w:r>
          </w:p>
        </w:tc>
        <w:tc>
          <w:tcPr>
            <w:tcW w:w="2126" w:type="dxa"/>
          </w:tcPr>
          <w:p w:rsidR="00B8569B" w:rsidRDefault="00DF667D" w:rsidP="00D0294A">
            <w:pPr>
              <w:jc w:val="both"/>
              <w:rPr>
                <w:rFonts w:ascii="Arial" w:hAnsi="Arial" w:cs="Arial"/>
                <w:b/>
                <w:sz w:val="24"/>
                <w:szCs w:val="24"/>
              </w:rPr>
            </w:pPr>
            <w:r>
              <w:rPr>
                <w:rFonts w:ascii="Arial" w:hAnsi="Arial" w:cs="Arial"/>
                <w:b/>
                <w:sz w:val="24"/>
                <w:szCs w:val="24"/>
              </w:rPr>
              <w:t>Smaller Towns/</w:t>
            </w:r>
          </w:p>
          <w:p w:rsidR="00DF667D" w:rsidRDefault="00DF667D" w:rsidP="00D0294A">
            <w:pPr>
              <w:jc w:val="both"/>
              <w:rPr>
                <w:rFonts w:ascii="Arial" w:hAnsi="Arial" w:cs="Arial"/>
                <w:b/>
                <w:sz w:val="24"/>
                <w:szCs w:val="24"/>
              </w:rPr>
            </w:pPr>
            <w:r>
              <w:rPr>
                <w:rFonts w:ascii="Arial" w:hAnsi="Arial" w:cs="Arial"/>
                <w:b/>
                <w:sz w:val="24"/>
                <w:szCs w:val="24"/>
              </w:rPr>
              <w:t>Villages/Small Settlements</w:t>
            </w:r>
          </w:p>
        </w:tc>
        <w:tc>
          <w:tcPr>
            <w:tcW w:w="2075" w:type="dxa"/>
          </w:tcPr>
          <w:p w:rsidR="00DF667D" w:rsidRDefault="00DF667D" w:rsidP="00D0294A">
            <w:pPr>
              <w:jc w:val="both"/>
              <w:rPr>
                <w:rFonts w:ascii="Arial" w:hAnsi="Arial" w:cs="Arial"/>
                <w:b/>
                <w:sz w:val="24"/>
                <w:szCs w:val="24"/>
              </w:rPr>
            </w:pPr>
            <w:r>
              <w:rPr>
                <w:rFonts w:ascii="Arial" w:hAnsi="Arial" w:cs="Arial"/>
                <w:b/>
                <w:sz w:val="24"/>
                <w:szCs w:val="24"/>
              </w:rPr>
              <w:t>Countryside</w:t>
            </w:r>
          </w:p>
        </w:tc>
      </w:tr>
      <w:tr w:rsidR="00DF667D" w:rsidTr="00B8569B">
        <w:tc>
          <w:tcPr>
            <w:tcW w:w="1900" w:type="dxa"/>
          </w:tcPr>
          <w:p w:rsidR="00DF667D" w:rsidRDefault="000C29AF" w:rsidP="00D0294A">
            <w:pPr>
              <w:jc w:val="both"/>
              <w:rPr>
                <w:rFonts w:ascii="Arial" w:hAnsi="Arial" w:cs="Arial"/>
                <w:b/>
                <w:sz w:val="24"/>
                <w:szCs w:val="24"/>
              </w:rPr>
            </w:pPr>
            <w:r>
              <w:rPr>
                <w:rFonts w:ascii="Arial" w:hAnsi="Arial" w:cs="Arial"/>
                <w:b/>
                <w:sz w:val="24"/>
                <w:szCs w:val="24"/>
              </w:rPr>
              <w:t>% of HGI</w:t>
            </w:r>
          </w:p>
        </w:tc>
        <w:tc>
          <w:tcPr>
            <w:tcW w:w="2195" w:type="dxa"/>
          </w:tcPr>
          <w:p w:rsidR="00A2081F" w:rsidRDefault="00A2081F" w:rsidP="00D0294A">
            <w:pPr>
              <w:jc w:val="both"/>
              <w:rPr>
                <w:rFonts w:ascii="Arial" w:hAnsi="Arial" w:cs="Arial"/>
                <w:b/>
                <w:sz w:val="24"/>
                <w:szCs w:val="24"/>
              </w:rPr>
            </w:pPr>
            <w:r>
              <w:rPr>
                <w:rFonts w:ascii="Arial" w:hAnsi="Arial" w:cs="Arial"/>
                <w:b/>
                <w:sz w:val="24"/>
                <w:szCs w:val="24"/>
              </w:rPr>
              <w:t>46.5%</w:t>
            </w:r>
          </w:p>
          <w:p w:rsidR="00DF667D" w:rsidRPr="00B8569B" w:rsidRDefault="00A2081F" w:rsidP="00D0294A">
            <w:pPr>
              <w:jc w:val="both"/>
              <w:rPr>
                <w:rFonts w:ascii="Arial" w:hAnsi="Arial" w:cs="Arial"/>
                <w:b/>
              </w:rPr>
            </w:pPr>
            <w:r w:rsidRPr="00B8569B">
              <w:rPr>
                <w:rFonts w:ascii="Arial" w:hAnsi="Arial" w:cs="Arial"/>
                <w:b/>
              </w:rPr>
              <w:t>(based</w:t>
            </w:r>
            <w:r w:rsidR="00B8569B" w:rsidRPr="00B8569B">
              <w:rPr>
                <w:rFonts w:ascii="Arial" w:hAnsi="Arial" w:cs="Arial"/>
                <w:b/>
              </w:rPr>
              <w:t xml:space="preserve"> </w:t>
            </w:r>
            <w:r w:rsidRPr="00B8569B">
              <w:rPr>
                <w:rFonts w:ascii="Arial" w:hAnsi="Arial" w:cs="Arial"/>
                <w:b/>
              </w:rPr>
              <w:t xml:space="preserve">on </w:t>
            </w:r>
            <w:r w:rsidR="00B8569B" w:rsidRPr="00B8569B">
              <w:rPr>
                <w:rFonts w:ascii="Arial" w:hAnsi="Arial" w:cs="Arial"/>
                <w:b/>
              </w:rPr>
              <w:t xml:space="preserve">average % </w:t>
            </w:r>
            <w:r w:rsidRPr="00B8569B">
              <w:rPr>
                <w:rFonts w:ascii="Arial" w:hAnsi="Arial" w:cs="Arial"/>
                <w:b/>
              </w:rPr>
              <w:t>of options 1 and 2)</w:t>
            </w:r>
          </w:p>
          <w:p w:rsidR="00DF667D" w:rsidRDefault="00DF667D" w:rsidP="00D0294A">
            <w:pPr>
              <w:jc w:val="both"/>
              <w:rPr>
                <w:rFonts w:ascii="Arial" w:hAnsi="Arial" w:cs="Arial"/>
                <w:b/>
                <w:sz w:val="24"/>
                <w:szCs w:val="24"/>
              </w:rPr>
            </w:pPr>
          </w:p>
        </w:tc>
        <w:tc>
          <w:tcPr>
            <w:tcW w:w="2126" w:type="dxa"/>
          </w:tcPr>
          <w:p w:rsidR="00DF667D" w:rsidRDefault="004064F2" w:rsidP="00D0294A">
            <w:pPr>
              <w:jc w:val="both"/>
              <w:rPr>
                <w:rFonts w:ascii="Arial" w:hAnsi="Arial" w:cs="Arial"/>
                <w:b/>
                <w:sz w:val="24"/>
                <w:szCs w:val="24"/>
              </w:rPr>
            </w:pPr>
            <w:r>
              <w:rPr>
                <w:rFonts w:ascii="Arial" w:hAnsi="Arial" w:cs="Arial"/>
                <w:b/>
                <w:sz w:val="24"/>
                <w:szCs w:val="24"/>
              </w:rPr>
              <w:t>26.2</w:t>
            </w:r>
            <w:r w:rsidR="00A2081F">
              <w:rPr>
                <w:rFonts w:ascii="Arial" w:hAnsi="Arial" w:cs="Arial"/>
                <w:b/>
                <w:sz w:val="24"/>
                <w:szCs w:val="24"/>
              </w:rPr>
              <w:t>%</w:t>
            </w:r>
            <w:r w:rsidR="000C51F3">
              <w:rPr>
                <w:rFonts w:ascii="Arial" w:hAnsi="Arial" w:cs="Arial"/>
                <w:b/>
                <w:sz w:val="24"/>
                <w:szCs w:val="24"/>
              </w:rPr>
              <w:t xml:space="preserve"> </w:t>
            </w:r>
          </w:p>
        </w:tc>
        <w:tc>
          <w:tcPr>
            <w:tcW w:w="2075" w:type="dxa"/>
          </w:tcPr>
          <w:p w:rsidR="00DF667D" w:rsidRDefault="007815F1" w:rsidP="00D0294A">
            <w:pPr>
              <w:jc w:val="both"/>
              <w:rPr>
                <w:rFonts w:ascii="Arial" w:hAnsi="Arial" w:cs="Arial"/>
                <w:b/>
                <w:sz w:val="24"/>
                <w:szCs w:val="24"/>
              </w:rPr>
            </w:pPr>
            <w:r>
              <w:rPr>
                <w:rFonts w:ascii="Arial" w:hAnsi="Arial" w:cs="Arial"/>
                <w:b/>
                <w:sz w:val="24"/>
                <w:szCs w:val="24"/>
              </w:rPr>
              <w:t>27</w:t>
            </w:r>
            <w:r w:rsidR="004064F2">
              <w:rPr>
                <w:rFonts w:ascii="Arial" w:hAnsi="Arial" w:cs="Arial"/>
                <w:b/>
                <w:sz w:val="24"/>
                <w:szCs w:val="24"/>
              </w:rPr>
              <w:t>.3</w:t>
            </w:r>
            <w:r w:rsidR="00A2081F">
              <w:rPr>
                <w:rFonts w:ascii="Arial" w:hAnsi="Arial" w:cs="Arial"/>
                <w:b/>
                <w:sz w:val="24"/>
                <w:szCs w:val="24"/>
              </w:rPr>
              <w:t>%</w:t>
            </w:r>
            <w:r w:rsidR="000C51F3">
              <w:rPr>
                <w:rFonts w:ascii="Arial" w:hAnsi="Arial" w:cs="Arial"/>
                <w:b/>
                <w:sz w:val="24"/>
                <w:szCs w:val="24"/>
              </w:rPr>
              <w:t xml:space="preserve"> </w:t>
            </w:r>
          </w:p>
        </w:tc>
      </w:tr>
    </w:tbl>
    <w:p w:rsidR="00DF667D" w:rsidRDefault="00DF667D" w:rsidP="00D0294A">
      <w:pPr>
        <w:spacing w:line="240" w:lineRule="auto"/>
        <w:ind w:left="720" w:hanging="720"/>
        <w:jc w:val="both"/>
        <w:rPr>
          <w:rFonts w:ascii="Arial" w:hAnsi="Arial" w:cs="Arial"/>
          <w:b/>
          <w:sz w:val="24"/>
          <w:szCs w:val="24"/>
        </w:rPr>
      </w:pPr>
    </w:p>
    <w:p w:rsidR="00DF667D" w:rsidRDefault="00DF667D" w:rsidP="00D0294A">
      <w:pPr>
        <w:spacing w:line="240" w:lineRule="auto"/>
        <w:ind w:left="720" w:hanging="720"/>
        <w:jc w:val="both"/>
        <w:rPr>
          <w:rFonts w:ascii="Arial" w:hAnsi="Arial" w:cs="Arial"/>
          <w:b/>
          <w:sz w:val="28"/>
          <w:szCs w:val="28"/>
        </w:rPr>
      </w:pPr>
      <w:r w:rsidRPr="00DF667D">
        <w:rPr>
          <w:rFonts w:ascii="Arial" w:hAnsi="Arial" w:cs="Arial"/>
          <w:b/>
          <w:sz w:val="28"/>
          <w:szCs w:val="28"/>
        </w:rPr>
        <w:t xml:space="preserve">5.0 </w:t>
      </w:r>
      <w:r w:rsidRPr="00DF667D">
        <w:rPr>
          <w:rFonts w:ascii="Arial" w:hAnsi="Arial" w:cs="Arial"/>
          <w:b/>
          <w:sz w:val="28"/>
          <w:szCs w:val="28"/>
        </w:rPr>
        <w:tab/>
        <w:t>Conclusion</w:t>
      </w:r>
    </w:p>
    <w:p w:rsidR="00F318CB" w:rsidRDefault="00DF667D" w:rsidP="00A724C3">
      <w:pPr>
        <w:spacing w:line="240" w:lineRule="auto"/>
        <w:ind w:left="720" w:hanging="720"/>
        <w:jc w:val="both"/>
        <w:rPr>
          <w:rFonts w:ascii="Arial" w:hAnsi="Arial" w:cs="Arial"/>
          <w:sz w:val="24"/>
          <w:szCs w:val="24"/>
        </w:rPr>
      </w:pPr>
      <w:r w:rsidRPr="00CF20DD">
        <w:rPr>
          <w:rFonts w:ascii="Arial" w:hAnsi="Arial" w:cs="Arial"/>
          <w:sz w:val="24"/>
          <w:szCs w:val="24"/>
        </w:rPr>
        <w:t>5.1</w:t>
      </w:r>
      <w:r>
        <w:rPr>
          <w:rFonts w:ascii="Arial" w:hAnsi="Arial" w:cs="Arial"/>
          <w:b/>
          <w:sz w:val="24"/>
          <w:szCs w:val="24"/>
        </w:rPr>
        <w:tab/>
      </w:r>
      <w:r>
        <w:rPr>
          <w:rFonts w:ascii="Arial" w:hAnsi="Arial" w:cs="Arial"/>
          <w:sz w:val="24"/>
          <w:szCs w:val="24"/>
        </w:rPr>
        <w:t xml:space="preserve">As previously discussed in Position Paper 2, each of these options has its pros and cons. </w:t>
      </w:r>
      <w:r w:rsidR="00F318CB">
        <w:rPr>
          <w:rFonts w:ascii="Arial" w:hAnsi="Arial" w:cs="Arial"/>
          <w:sz w:val="24"/>
          <w:szCs w:val="24"/>
        </w:rPr>
        <w:t>If Option 1 is chosen, there would clearly be no shortage of land across the settlements, particularly in the two main towns. However, this option does not satisfactorily meet the RDS objective of focusing growt</w:t>
      </w:r>
      <w:r w:rsidR="004A39DE">
        <w:rPr>
          <w:rFonts w:ascii="Arial" w:hAnsi="Arial" w:cs="Arial"/>
          <w:sz w:val="24"/>
          <w:szCs w:val="24"/>
        </w:rPr>
        <w:t xml:space="preserve">h on the hubs as </w:t>
      </w:r>
      <w:r w:rsidR="00F318CB">
        <w:rPr>
          <w:rFonts w:ascii="Arial" w:hAnsi="Arial" w:cs="Arial"/>
          <w:sz w:val="24"/>
          <w:szCs w:val="24"/>
        </w:rPr>
        <w:t>the small towns, villages and the countryside</w:t>
      </w:r>
      <w:r w:rsidR="004A39DE">
        <w:rPr>
          <w:rFonts w:ascii="Arial" w:hAnsi="Arial" w:cs="Arial"/>
          <w:sz w:val="24"/>
          <w:szCs w:val="24"/>
        </w:rPr>
        <w:t xml:space="preserve"> would together receive twice the allocation of</w:t>
      </w:r>
      <w:r w:rsidR="00F318CB">
        <w:rPr>
          <w:rFonts w:ascii="Arial" w:hAnsi="Arial" w:cs="Arial"/>
          <w:sz w:val="24"/>
          <w:szCs w:val="24"/>
        </w:rPr>
        <w:t xml:space="preserve"> the two main towns. </w:t>
      </w:r>
    </w:p>
    <w:p w:rsidR="00186126" w:rsidRDefault="00F318CB" w:rsidP="00A724C3">
      <w:pPr>
        <w:spacing w:line="240" w:lineRule="auto"/>
        <w:ind w:left="720" w:hanging="720"/>
        <w:jc w:val="both"/>
        <w:rPr>
          <w:rFonts w:ascii="Arial" w:hAnsi="Arial" w:cs="Arial"/>
          <w:sz w:val="24"/>
          <w:szCs w:val="24"/>
        </w:rPr>
      </w:pPr>
      <w:r>
        <w:rPr>
          <w:rFonts w:ascii="Arial" w:hAnsi="Arial" w:cs="Arial"/>
          <w:sz w:val="24"/>
          <w:szCs w:val="24"/>
        </w:rPr>
        <w:t>5.2</w:t>
      </w:r>
      <w:r>
        <w:rPr>
          <w:rFonts w:ascii="Arial" w:hAnsi="Arial" w:cs="Arial"/>
          <w:sz w:val="24"/>
          <w:szCs w:val="24"/>
        </w:rPr>
        <w:tab/>
      </w:r>
      <w:r w:rsidR="00DF667D">
        <w:rPr>
          <w:rFonts w:ascii="Arial" w:hAnsi="Arial" w:cs="Arial"/>
          <w:sz w:val="24"/>
          <w:szCs w:val="24"/>
        </w:rPr>
        <w:t>In adopting a strong urban focus as presented in Option 2, there would be an opportunity to zone more housing land in the two hubs</w:t>
      </w:r>
      <w:r w:rsidR="00942670">
        <w:rPr>
          <w:rFonts w:ascii="Arial" w:hAnsi="Arial" w:cs="Arial"/>
          <w:sz w:val="24"/>
          <w:szCs w:val="24"/>
        </w:rPr>
        <w:t xml:space="preserve"> </w:t>
      </w:r>
      <w:r w:rsidR="004064F2">
        <w:rPr>
          <w:rFonts w:ascii="Arial" w:hAnsi="Arial" w:cs="Arial"/>
          <w:sz w:val="24"/>
          <w:szCs w:val="24"/>
        </w:rPr>
        <w:t>based on an allocation of 10,019</w:t>
      </w:r>
      <w:r w:rsidR="00DF667D">
        <w:rPr>
          <w:rFonts w:ascii="Arial" w:hAnsi="Arial" w:cs="Arial"/>
          <w:sz w:val="24"/>
          <w:szCs w:val="24"/>
        </w:rPr>
        <w:t xml:space="preserve"> dwellings compared to the current total commitment</w:t>
      </w:r>
      <w:r w:rsidR="00942670">
        <w:rPr>
          <w:rFonts w:ascii="Arial" w:hAnsi="Arial" w:cs="Arial"/>
          <w:sz w:val="24"/>
          <w:szCs w:val="24"/>
        </w:rPr>
        <w:t>s and housing land supply of 7,331 dwellings. T</w:t>
      </w:r>
      <w:r w:rsidR="00DF667D">
        <w:rPr>
          <w:rFonts w:ascii="Arial" w:hAnsi="Arial" w:cs="Arial"/>
          <w:sz w:val="24"/>
          <w:szCs w:val="24"/>
        </w:rPr>
        <w:t>he rural allocation woul</w:t>
      </w:r>
      <w:r w:rsidR="00942670">
        <w:rPr>
          <w:rFonts w:ascii="Arial" w:hAnsi="Arial" w:cs="Arial"/>
          <w:sz w:val="24"/>
          <w:szCs w:val="24"/>
        </w:rPr>
        <w:t>d</w:t>
      </w:r>
      <w:r w:rsidR="004064F2">
        <w:rPr>
          <w:rFonts w:ascii="Arial" w:hAnsi="Arial" w:cs="Arial"/>
          <w:sz w:val="24"/>
          <w:szCs w:val="24"/>
        </w:rPr>
        <w:t xml:space="preserve"> amount to 2,304</w:t>
      </w:r>
      <w:r w:rsidR="00EC5351">
        <w:rPr>
          <w:rFonts w:ascii="Arial" w:hAnsi="Arial" w:cs="Arial"/>
          <w:sz w:val="24"/>
          <w:szCs w:val="24"/>
        </w:rPr>
        <w:t xml:space="preserve"> dwellings over the plan p</w:t>
      </w:r>
      <w:r w:rsidR="00BF7E90">
        <w:rPr>
          <w:rFonts w:ascii="Arial" w:hAnsi="Arial" w:cs="Arial"/>
          <w:sz w:val="24"/>
          <w:szCs w:val="24"/>
        </w:rPr>
        <w:t xml:space="preserve">eriod </w:t>
      </w:r>
      <w:r w:rsidR="00186126">
        <w:rPr>
          <w:rFonts w:ascii="Arial" w:hAnsi="Arial" w:cs="Arial"/>
          <w:sz w:val="24"/>
          <w:szCs w:val="24"/>
        </w:rPr>
        <w:t xml:space="preserve">with the allocation to the small towns and small settlements remaining at 4,374 dwellings. </w:t>
      </w:r>
    </w:p>
    <w:p w:rsidR="00EC5351" w:rsidRDefault="00F318CB" w:rsidP="00A724C3">
      <w:pPr>
        <w:spacing w:line="240" w:lineRule="auto"/>
        <w:ind w:left="720" w:hanging="720"/>
        <w:jc w:val="both"/>
        <w:rPr>
          <w:rFonts w:ascii="Arial" w:hAnsi="Arial" w:cs="Arial"/>
          <w:sz w:val="24"/>
          <w:szCs w:val="24"/>
        </w:rPr>
      </w:pPr>
      <w:r>
        <w:rPr>
          <w:rFonts w:ascii="Arial" w:hAnsi="Arial" w:cs="Arial"/>
          <w:sz w:val="24"/>
          <w:szCs w:val="24"/>
        </w:rPr>
        <w:t>5.3</w:t>
      </w:r>
      <w:r w:rsidR="00EC5351">
        <w:rPr>
          <w:rFonts w:ascii="Arial" w:hAnsi="Arial" w:cs="Arial"/>
          <w:b/>
          <w:sz w:val="24"/>
          <w:szCs w:val="24"/>
        </w:rPr>
        <w:tab/>
      </w:r>
      <w:r w:rsidR="00EC5351" w:rsidRPr="00EC5351">
        <w:rPr>
          <w:rFonts w:ascii="Arial" w:hAnsi="Arial" w:cs="Arial"/>
          <w:sz w:val="24"/>
          <w:szCs w:val="24"/>
        </w:rPr>
        <w:t>Option</w:t>
      </w:r>
      <w:r w:rsidR="00EC5351">
        <w:rPr>
          <w:rFonts w:ascii="Arial" w:hAnsi="Arial" w:cs="Arial"/>
          <w:sz w:val="24"/>
          <w:szCs w:val="24"/>
        </w:rPr>
        <w:t xml:space="preserve"> 3 affords more weight to the rural areas but still maintains an urban focus. This would</w:t>
      </w:r>
      <w:r w:rsidR="00BF7E90">
        <w:rPr>
          <w:rFonts w:ascii="Arial" w:hAnsi="Arial" w:cs="Arial"/>
          <w:sz w:val="24"/>
          <w:szCs w:val="24"/>
        </w:rPr>
        <w:t xml:space="preserve"> </w:t>
      </w:r>
      <w:r w:rsidR="007815F1">
        <w:rPr>
          <w:rFonts w:ascii="Arial" w:hAnsi="Arial" w:cs="Arial"/>
          <w:sz w:val="24"/>
          <w:szCs w:val="24"/>
        </w:rPr>
        <w:t>result in an allocation of 7,765</w:t>
      </w:r>
      <w:r w:rsidR="00BF7E90">
        <w:rPr>
          <w:rFonts w:ascii="Arial" w:hAnsi="Arial" w:cs="Arial"/>
          <w:sz w:val="24"/>
          <w:szCs w:val="24"/>
        </w:rPr>
        <w:t xml:space="preserve"> dwellings between the two</w:t>
      </w:r>
      <w:r w:rsidR="00EC5351">
        <w:rPr>
          <w:rFonts w:ascii="Arial" w:hAnsi="Arial" w:cs="Arial"/>
          <w:sz w:val="24"/>
          <w:szCs w:val="24"/>
        </w:rPr>
        <w:t xml:space="preserve"> hubs which is broadly in line with existing</w:t>
      </w:r>
      <w:r w:rsidR="00E1023E">
        <w:rPr>
          <w:rFonts w:ascii="Arial" w:hAnsi="Arial" w:cs="Arial"/>
          <w:sz w:val="24"/>
          <w:szCs w:val="24"/>
        </w:rPr>
        <w:t xml:space="preserve"> housing land supply. </w:t>
      </w:r>
      <w:r w:rsidR="004A39DE">
        <w:rPr>
          <w:rFonts w:ascii="Arial" w:hAnsi="Arial" w:cs="Arial"/>
          <w:sz w:val="24"/>
          <w:szCs w:val="24"/>
        </w:rPr>
        <w:t>However, t</w:t>
      </w:r>
      <w:r w:rsidR="00E1023E">
        <w:rPr>
          <w:rFonts w:ascii="Arial" w:hAnsi="Arial" w:cs="Arial"/>
          <w:sz w:val="24"/>
          <w:szCs w:val="24"/>
        </w:rPr>
        <w:t>his option would also</w:t>
      </w:r>
      <w:r w:rsidR="004064F2">
        <w:rPr>
          <w:rFonts w:ascii="Arial" w:hAnsi="Arial" w:cs="Arial"/>
          <w:sz w:val="24"/>
          <w:szCs w:val="24"/>
        </w:rPr>
        <w:t xml:space="preserve"> allow for 4,55</w:t>
      </w:r>
      <w:r w:rsidR="007815F1">
        <w:rPr>
          <w:rFonts w:ascii="Arial" w:hAnsi="Arial" w:cs="Arial"/>
          <w:sz w:val="24"/>
          <w:szCs w:val="24"/>
        </w:rPr>
        <w:t>8</w:t>
      </w:r>
      <w:r w:rsidR="00EC5351">
        <w:rPr>
          <w:rFonts w:ascii="Arial" w:hAnsi="Arial" w:cs="Arial"/>
          <w:sz w:val="24"/>
          <w:szCs w:val="24"/>
        </w:rPr>
        <w:t xml:space="preserve"> dwellings in the rural area which, based on existing rates of permission, would repre</w:t>
      </w:r>
      <w:r w:rsidR="007815F1">
        <w:rPr>
          <w:rFonts w:ascii="Arial" w:hAnsi="Arial" w:cs="Arial"/>
          <w:sz w:val="24"/>
          <w:szCs w:val="24"/>
        </w:rPr>
        <w:t>sent a</w:t>
      </w:r>
      <w:r w:rsidR="00186126">
        <w:rPr>
          <w:rFonts w:ascii="Arial" w:hAnsi="Arial" w:cs="Arial"/>
          <w:sz w:val="24"/>
          <w:szCs w:val="24"/>
        </w:rPr>
        <w:t xml:space="preserve"> very</w:t>
      </w:r>
      <w:r w:rsidR="004A39DE">
        <w:rPr>
          <w:rFonts w:ascii="Arial" w:hAnsi="Arial" w:cs="Arial"/>
          <w:sz w:val="24"/>
          <w:szCs w:val="24"/>
        </w:rPr>
        <w:t xml:space="preserve"> generous provision </w:t>
      </w:r>
      <w:r w:rsidR="007815F1">
        <w:rPr>
          <w:rFonts w:ascii="Arial" w:hAnsi="Arial" w:cs="Arial"/>
          <w:sz w:val="24"/>
          <w:szCs w:val="24"/>
        </w:rPr>
        <w:t xml:space="preserve">over the plan period. </w:t>
      </w:r>
      <w:r w:rsidR="004A39DE">
        <w:rPr>
          <w:rFonts w:ascii="Arial" w:hAnsi="Arial" w:cs="Arial"/>
          <w:sz w:val="24"/>
          <w:szCs w:val="24"/>
        </w:rPr>
        <w:t>T</w:t>
      </w:r>
      <w:r w:rsidR="00A722B4">
        <w:rPr>
          <w:rFonts w:ascii="Arial" w:hAnsi="Arial" w:cs="Arial"/>
          <w:sz w:val="24"/>
          <w:szCs w:val="24"/>
        </w:rPr>
        <w:t xml:space="preserve">his </w:t>
      </w:r>
      <w:r w:rsidR="00EC5351">
        <w:rPr>
          <w:rFonts w:ascii="Arial" w:hAnsi="Arial" w:cs="Arial"/>
          <w:sz w:val="24"/>
          <w:szCs w:val="24"/>
        </w:rPr>
        <w:t xml:space="preserve">would </w:t>
      </w:r>
      <w:r w:rsidR="00186126">
        <w:rPr>
          <w:rFonts w:ascii="Arial" w:hAnsi="Arial" w:cs="Arial"/>
          <w:sz w:val="24"/>
          <w:szCs w:val="24"/>
        </w:rPr>
        <w:t xml:space="preserve">not be in keeping with the RDS and SPPS with their emphasis on sustainable development in the countryside. </w:t>
      </w:r>
    </w:p>
    <w:p w:rsidR="002240A2" w:rsidRDefault="00F318CB" w:rsidP="00D0294A">
      <w:pPr>
        <w:spacing w:line="240" w:lineRule="auto"/>
        <w:ind w:left="720" w:hanging="720"/>
        <w:jc w:val="both"/>
        <w:rPr>
          <w:rFonts w:ascii="Arial" w:hAnsi="Arial" w:cs="Arial"/>
          <w:sz w:val="24"/>
          <w:szCs w:val="24"/>
        </w:rPr>
      </w:pPr>
      <w:r>
        <w:rPr>
          <w:rFonts w:ascii="Arial" w:hAnsi="Arial" w:cs="Arial"/>
          <w:sz w:val="24"/>
          <w:szCs w:val="24"/>
        </w:rPr>
        <w:t>5.4</w:t>
      </w:r>
      <w:r w:rsidR="00EC5351" w:rsidRPr="00EC5351">
        <w:rPr>
          <w:rFonts w:ascii="Arial" w:hAnsi="Arial" w:cs="Arial"/>
          <w:b/>
          <w:sz w:val="24"/>
          <w:szCs w:val="24"/>
        </w:rPr>
        <w:tab/>
      </w:r>
      <w:r w:rsidR="000D595F">
        <w:rPr>
          <w:rFonts w:ascii="Arial" w:hAnsi="Arial" w:cs="Arial"/>
          <w:sz w:val="24"/>
          <w:szCs w:val="24"/>
        </w:rPr>
        <w:t xml:space="preserve">As the </w:t>
      </w:r>
      <w:r w:rsidR="00D22414">
        <w:rPr>
          <w:rFonts w:ascii="Arial" w:hAnsi="Arial" w:cs="Arial"/>
          <w:sz w:val="24"/>
          <w:szCs w:val="24"/>
        </w:rPr>
        <w:t>p</w:t>
      </w:r>
      <w:r w:rsidR="000D595F">
        <w:rPr>
          <w:rFonts w:ascii="Arial" w:hAnsi="Arial" w:cs="Arial"/>
          <w:sz w:val="24"/>
          <w:szCs w:val="24"/>
        </w:rPr>
        <w:t>olicy direction for rural housing</w:t>
      </w:r>
      <w:r w:rsidR="00D22414">
        <w:rPr>
          <w:rFonts w:ascii="Arial" w:hAnsi="Arial" w:cs="Arial"/>
          <w:sz w:val="24"/>
          <w:szCs w:val="24"/>
        </w:rPr>
        <w:t xml:space="preserve"> </w:t>
      </w:r>
      <w:r w:rsidR="000D595F">
        <w:rPr>
          <w:rFonts w:ascii="Arial" w:hAnsi="Arial" w:cs="Arial"/>
          <w:sz w:val="24"/>
          <w:szCs w:val="24"/>
        </w:rPr>
        <w:t>in the LDP h</w:t>
      </w:r>
      <w:r w:rsidR="00D22414">
        <w:rPr>
          <w:rFonts w:ascii="Arial" w:hAnsi="Arial" w:cs="Arial"/>
          <w:sz w:val="24"/>
          <w:szCs w:val="24"/>
        </w:rPr>
        <w:t>as yet to be established, it is not</w:t>
      </w:r>
      <w:r w:rsidR="000D595F">
        <w:rPr>
          <w:rFonts w:ascii="Arial" w:hAnsi="Arial" w:cs="Arial"/>
          <w:sz w:val="24"/>
          <w:szCs w:val="24"/>
        </w:rPr>
        <w:t xml:space="preserve"> possible at this stage to come to any conclusions on</w:t>
      </w:r>
      <w:r w:rsidR="00D22414">
        <w:rPr>
          <w:rFonts w:ascii="Arial" w:hAnsi="Arial" w:cs="Arial"/>
          <w:sz w:val="24"/>
          <w:szCs w:val="24"/>
        </w:rPr>
        <w:t xml:space="preserve"> what portion of housing should be allocated to the countryside. However, a suggested starting point could be based on </w:t>
      </w:r>
      <w:r w:rsidR="00896855">
        <w:rPr>
          <w:rFonts w:ascii="Arial" w:hAnsi="Arial" w:cs="Arial"/>
          <w:sz w:val="24"/>
          <w:szCs w:val="24"/>
        </w:rPr>
        <w:t>existing rates of permissions for rural dwellings</w:t>
      </w:r>
      <w:r w:rsidR="000D595F">
        <w:rPr>
          <w:rFonts w:ascii="Arial" w:hAnsi="Arial" w:cs="Arial"/>
          <w:sz w:val="24"/>
          <w:szCs w:val="24"/>
        </w:rPr>
        <w:t xml:space="preserve"> achieved under the current policies set out in PPS 21. Given that there was </w:t>
      </w:r>
      <w:r w:rsidR="000D595F" w:rsidRPr="000D595F">
        <w:rPr>
          <w:rFonts w:ascii="Arial" w:hAnsi="Arial" w:cs="Arial"/>
          <w:sz w:val="24"/>
          <w:szCs w:val="24"/>
        </w:rPr>
        <w:t>an annual average rate of 185 dwellings between 2012 and 2014</w:t>
      </w:r>
      <w:r w:rsidR="000D595F">
        <w:rPr>
          <w:rFonts w:ascii="Arial" w:hAnsi="Arial" w:cs="Arial"/>
          <w:sz w:val="24"/>
          <w:szCs w:val="24"/>
        </w:rPr>
        <w:t xml:space="preserve"> (see para.6.19 of Position Paper 2 Housing),</w:t>
      </w:r>
      <w:r w:rsidR="00896855">
        <w:rPr>
          <w:rFonts w:ascii="Arial" w:hAnsi="Arial" w:cs="Arial"/>
          <w:sz w:val="24"/>
          <w:szCs w:val="24"/>
        </w:rPr>
        <w:t xml:space="preserve"> </w:t>
      </w:r>
      <w:r w:rsidR="00A722B4">
        <w:rPr>
          <w:rFonts w:ascii="Arial" w:hAnsi="Arial" w:cs="Arial"/>
          <w:sz w:val="24"/>
          <w:szCs w:val="24"/>
        </w:rPr>
        <w:t>there</w:t>
      </w:r>
      <w:r w:rsidR="00D22414">
        <w:rPr>
          <w:rFonts w:ascii="Arial" w:hAnsi="Arial" w:cs="Arial"/>
          <w:sz w:val="24"/>
          <w:szCs w:val="24"/>
        </w:rPr>
        <w:t xml:space="preserve"> could </w:t>
      </w:r>
      <w:r w:rsidR="00A722B4">
        <w:rPr>
          <w:rFonts w:ascii="Arial" w:hAnsi="Arial" w:cs="Arial"/>
          <w:sz w:val="24"/>
          <w:szCs w:val="24"/>
        </w:rPr>
        <w:t>potentially be</w:t>
      </w:r>
      <w:r w:rsidR="00896855">
        <w:rPr>
          <w:rFonts w:ascii="Arial" w:hAnsi="Arial" w:cs="Arial"/>
          <w:sz w:val="24"/>
          <w:szCs w:val="24"/>
        </w:rPr>
        <w:t xml:space="preserve"> 2,775 </w:t>
      </w:r>
      <w:r w:rsidR="000D595F">
        <w:rPr>
          <w:rFonts w:ascii="Arial" w:hAnsi="Arial" w:cs="Arial"/>
          <w:sz w:val="24"/>
          <w:szCs w:val="24"/>
        </w:rPr>
        <w:t xml:space="preserve">dwellings required </w:t>
      </w:r>
      <w:r w:rsidR="00896855">
        <w:rPr>
          <w:rFonts w:ascii="Arial" w:hAnsi="Arial" w:cs="Arial"/>
          <w:sz w:val="24"/>
          <w:szCs w:val="24"/>
        </w:rPr>
        <w:t>over a 15</w:t>
      </w:r>
      <w:r w:rsidR="002B11FF">
        <w:rPr>
          <w:rFonts w:ascii="Arial" w:hAnsi="Arial" w:cs="Arial"/>
          <w:sz w:val="24"/>
          <w:szCs w:val="24"/>
        </w:rPr>
        <w:t xml:space="preserve"> </w:t>
      </w:r>
      <w:r w:rsidR="000D595F">
        <w:rPr>
          <w:rFonts w:ascii="Arial" w:hAnsi="Arial" w:cs="Arial"/>
          <w:sz w:val="24"/>
          <w:szCs w:val="24"/>
        </w:rPr>
        <w:t>year period</w:t>
      </w:r>
      <w:r w:rsidR="00D22414">
        <w:rPr>
          <w:rFonts w:ascii="Arial" w:hAnsi="Arial" w:cs="Arial"/>
          <w:sz w:val="24"/>
          <w:szCs w:val="24"/>
        </w:rPr>
        <w:t>.</w:t>
      </w:r>
      <w:r w:rsidR="00A722B4">
        <w:rPr>
          <w:rFonts w:ascii="Arial" w:hAnsi="Arial" w:cs="Arial"/>
          <w:sz w:val="24"/>
          <w:szCs w:val="24"/>
        </w:rPr>
        <w:t xml:space="preserve">  This is equivalent to approximately 16.6% of the HGI which is only slightly higher than the portion for the countryside set out in Option 2, </w:t>
      </w:r>
      <w:r w:rsidR="00E655BD">
        <w:rPr>
          <w:rFonts w:ascii="Arial" w:hAnsi="Arial" w:cs="Arial"/>
          <w:sz w:val="24"/>
          <w:szCs w:val="24"/>
        </w:rPr>
        <w:t>and would result in a slight decrease in the allocation to the main towns (57.7%).</w:t>
      </w:r>
    </w:p>
    <w:p w:rsidR="00050E25" w:rsidRDefault="00050E25" w:rsidP="00A722B4">
      <w:pPr>
        <w:spacing w:line="240" w:lineRule="auto"/>
        <w:ind w:left="720" w:hanging="720"/>
        <w:jc w:val="both"/>
        <w:rPr>
          <w:rFonts w:ascii="Arial" w:hAnsi="Arial" w:cs="Arial"/>
          <w:sz w:val="24"/>
          <w:szCs w:val="24"/>
        </w:rPr>
      </w:pPr>
      <w:r>
        <w:rPr>
          <w:rFonts w:ascii="Arial" w:hAnsi="Arial" w:cs="Arial"/>
          <w:sz w:val="24"/>
          <w:szCs w:val="24"/>
        </w:rPr>
        <w:t>5.5</w:t>
      </w:r>
      <w:r>
        <w:rPr>
          <w:rFonts w:ascii="Arial" w:hAnsi="Arial" w:cs="Arial"/>
          <w:sz w:val="24"/>
          <w:szCs w:val="24"/>
        </w:rPr>
        <w:tab/>
      </w:r>
      <w:r w:rsidRPr="00050E25">
        <w:rPr>
          <w:rFonts w:ascii="Arial" w:hAnsi="Arial" w:cs="Arial"/>
          <w:sz w:val="24"/>
          <w:szCs w:val="24"/>
        </w:rPr>
        <w:t xml:space="preserve">All the </w:t>
      </w:r>
      <w:r w:rsidR="00E655BD">
        <w:rPr>
          <w:rFonts w:ascii="Arial" w:hAnsi="Arial" w:cs="Arial"/>
          <w:sz w:val="24"/>
          <w:szCs w:val="24"/>
        </w:rPr>
        <w:t xml:space="preserve">figures in </w:t>
      </w:r>
      <w:r w:rsidR="00234B96">
        <w:rPr>
          <w:rFonts w:ascii="Arial" w:hAnsi="Arial" w:cs="Arial"/>
          <w:sz w:val="24"/>
          <w:szCs w:val="24"/>
        </w:rPr>
        <w:t>the options are based on an</w:t>
      </w:r>
      <w:r w:rsidRPr="00050E25">
        <w:rPr>
          <w:rFonts w:ascii="Arial" w:hAnsi="Arial" w:cs="Arial"/>
          <w:sz w:val="24"/>
          <w:szCs w:val="24"/>
        </w:rPr>
        <w:t xml:space="preserve"> overall HGI figure for 20</w:t>
      </w:r>
      <w:r w:rsidR="00234B96">
        <w:rPr>
          <w:rFonts w:ascii="Arial" w:hAnsi="Arial" w:cs="Arial"/>
          <w:sz w:val="24"/>
          <w:szCs w:val="24"/>
        </w:rPr>
        <w:t>08-2030. When applied to only the 2015-2030 period -</w:t>
      </w:r>
      <w:r w:rsidRPr="00050E25">
        <w:rPr>
          <w:rFonts w:ascii="Arial" w:hAnsi="Arial" w:cs="Arial"/>
          <w:sz w:val="24"/>
          <w:szCs w:val="24"/>
        </w:rPr>
        <w:t xml:space="preserve"> i.e. 11,385</w:t>
      </w:r>
      <w:r w:rsidR="00234B96">
        <w:rPr>
          <w:rFonts w:ascii="Arial" w:hAnsi="Arial" w:cs="Arial"/>
          <w:sz w:val="24"/>
          <w:szCs w:val="24"/>
        </w:rPr>
        <w:t xml:space="preserve"> - </w:t>
      </w:r>
      <w:r w:rsidRPr="00050E25">
        <w:rPr>
          <w:rFonts w:ascii="Arial" w:hAnsi="Arial" w:cs="Arial"/>
          <w:sz w:val="24"/>
          <w:szCs w:val="24"/>
        </w:rPr>
        <w:t>the number of dwellings allocated to each settle</w:t>
      </w:r>
      <w:r w:rsidR="00234B96">
        <w:rPr>
          <w:rFonts w:ascii="Arial" w:hAnsi="Arial" w:cs="Arial"/>
          <w:sz w:val="24"/>
          <w:szCs w:val="24"/>
        </w:rPr>
        <w:t>ment category will be reduced</w:t>
      </w:r>
      <w:r w:rsidRPr="00050E25">
        <w:rPr>
          <w:rFonts w:ascii="Arial" w:hAnsi="Arial" w:cs="Arial"/>
          <w:sz w:val="24"/>
          <w:szCs w:val="24"/>
        </w:rPr>
        <w:t xml:space="preserve">. </w:t>
      </w:r>
      <w:r w:rsidR="000D595F">
        <w:rPr>
          <w:rFonts w:ascii="Arial" w:hAnsi="Arial" w:cs="Arial"/>
          <w:sz w:val="24"/>
          <w:szCs w:val="24"/>
        </w:rPr>
        <w:t>Based on NISRA’s 2012</w:t>
      </w:r>
      <w:r w:rsidR="00234B96">
        <w:rPr>
          <w:rFonts w:ascii="Arial" w:hAnsi="Arial" w:cs="Arial"/>
          <w:sz w:val="24"/>
          <w:szCs w:val="24"/>
        </w:rPr>
        <w:t xml:space="preserve"> -2037</w:t>
      </w:r>
      <w:r w:rsidR="000D595F">
        <w:rPr>
          <w:rFonts w:ascii="Arial" w:hAnsi="Arial" w:cs="Arial"/>
          <w:sz w:val="24"/>
          <w:szCs w:val="24"/>
        </w:rPr>
        <w:t xml:space="preserve"> household projections, t</w:t>
      </w:r>
      <w:r w:rsidRPr="00050E25">
        <w:rPr>
          <w:rFonts w:ascii="Arial" w:hAnsi="Arial" w:cs="Arial"/>
          <w:sz w:val="24"/>
          <w:szCs w:val="24"/>
        </w:rPr>
        <w:t xml:space="preserve">he figures are </w:t>
      </w:r>
      <w:r w:rsidR="00234B96">
        <w:rPr>
          <w:rFonts w:ascii="Arial" w:hAnsi="Arial" w:cs="Arial"/>
          <w:sz w:val="24"/>
          <w:szCs w:val="24"/>
        </w:rPr>
        <w:t xml:space="preserve">also </w:t>
      </w:r>
      <w:r w:rsidRPr="00050E25">
        <w:rPr>
          <w:rFonts w:ascii="Arial" w:hAnsi="Arial" w:cs="Arial"/>
          <w:sz w:val="24"/>
          <w:szCs w:val="24"/>
        </w:rPr>
        <w:t>likely to be lower again when DRD release the new HGIs.</w:t>
      </w:r>
      <w:r w:rsidR="00234B96">
        <w:rPr>
          <w:rFonts w:ascii="Arial" w:hAnsi="Arial" w:cs="Arial"/>
          <w:sz w:val="24"/>
          <w:szCs w:val="24"/>
        </w:rPr>
        <w:t xml:space="preserve"> </w:t>
      </w:r>
    </w:p>
    <w:p w:rsidR="00EC5351" w:rsidRDefault="00A722B4" w:rsidP="002E7E19">
      <w:pPr>
        <w:spacing w:line="240" w:lineRule="auto"/>
        <w:ind w:left="720" w:hanging="720"/>
        <w:jc w:val="both"/>
        <w:rPr>
          <w:rFonts w:ascii="Arial" w:hAnsi="Arial" w:cs="Arial"/>
          <w:sz w:val="24"/>
          <w:szCs w:val="24"/>
        </w:rPr>
      </w:pPr>
      <w:r>
        <w:rPr>
          <w:rFonts w:ascii="Arial" w:hAnsi="Arial" w:cs="Arial"/>
          <w:sz w:val="24"/>
          <w:szCs w:val="24"/>
        </w:rPr>
        <w:t>5.6</w:t>
      </w:r>
      <w:r w:rsidR="002240A2">
        <w:rPr>
          <w:rFonts w:ascii="Arial" w:hAnsi="Arial" w:cs="Arial"/>
          <w:b/>
          <w:sz w:val="24"/>
          <w:szCs w:val="24"/>
        </w:rPr>
        <w:tab/>
      </w:r>
      <w:r w:rsidR="00FB3392" w:rsidRPr="00FB3392">
        <w:rPr>
          <w:rFonts w:ascii="Arial" w:hAnsi="Arial" w:cs="Arial"/>
          <w:sz w:val="24"/>
          <w:szCs w:val="24"/>
        </w:rPr>
        <w:t>The aim of the SPPS with regard to the countryside is to manage development in a manner which strikes a balance between protection of the environment from inappropriate development, while supporting and sustaining rural communities consistent with the RDS</w:t>
      </w:r>
      <w:r w:rsidR="00FB3392">
        <w:rPr>
          <w:rFonts w:ascii="Arial" w:hAnsi="Arial" w:cs="Arial"/>
          <w:sz w:val="24"/>
          <w:szCs w:val="24"/>
        </w:rPr>
        <w:t xml:space="preserve">. </w:t>
      </w:r>
      <w:r w:rsidR="00EC5351" w:rsidRPr="00FB3392">
        <w:rPr>
          <w:rFonts w:ascii="Arial" w:hAnsi="Arial" w:cs="Arial"/>
          <w:sz w:val="24"/>
          <w:szCs w:val="24"/>
        </w:rPr>
        <w:t>In</w:t>
      </w:r>
      <w:r w:rsidR="00EC5351">
        <w:rPr>
          <w:rFonts w:ascii="Arial" w:hAnsi="Arial" w:cs="Arial"/>
          <w:sz w:val="24"/>
          <w:szCs w:val="24"/>
        </w:rPr>
        <w:t xml:space="preserve"> light </w:t>
      </w:r>
      <w:r w:rsidR="002240A2">
        <w:rPr>
          <w:rFonts w:ascii="Arial" w:hAnsi="Arial" w:cs="Arial"/>
          <w:sz w:val="24"/>
          <w:szCs w:val="24"/>
        </w:rPr>
        <w:t xml:space="preserve">of this, </w:t>
      </w:r>
      <w:r w:rsidR="00FB3392">
        <w:rPr>
          <w:rFonts w:ascii="Arial" w:hAnsi="Arial" w:cs="Arial"/>
          <w:sz w:val="24"/>
          <w:szCs w:val="24"/>
        </w:rPr>
        <w:t xml:space="preserve">Members’ views are sought on Option 2, taking into account the adjustment </w:t>
      </w:r>
      <w:r w:rsidR="00E655BD">
        <w:rPr>
          <w:rFonts w:ascii="Arial" w:hAnsi="Arial" w:cs="Arial"/>
          <w:sz w:val="24"/>
          <w:szCs w:val="24"/>
        </w:rPr>
        <w:t xml:space="preserve">outlined in paragraph 5.3 </w:t>
      </w:r>
      <w:r w:rsidR="00FB3392">
        <w:rPr>
          <w:rFonts w:ascii="Arial" w:hAnsi="Arial" w:cs="Arial"/>
          <w:sz w:val="24"/>
          <w:szCs w:val="24"/>
        </w:rPr>
        <w:t xml:space="preserve">as this option </w:t>
      </w:r>
      <w:r w:rsidR="00E655BD">
        <w:rPr>
          <w:rFonts w:ascii="Arial" w:hAnsi="Arial" w:cs="Arial"/>
          <w:sz w:val="24"/>
          <w:szCs w:val="24"/>
        </w:rPr>
        <w:t>better reflects the policy thrust of the RDS and SPPS.  Once a clearer picture has emerged on the Council’s rural pol</w:t>
      </w:r>
      <w:r w:rsidR="00FB3392">
        <w:rPr>
          <w:rFonts w:ascii="Arial" w:hAnsi="Arial" w:cs="Arial"/>
          <w:sz w:val="24"/>
          <w:szCs w:val="24"/>
        </w:rPr>
        <w:t>icy direction for the LDP, these figures will</w:t>
      </w:r>
      <w:r w:rsidR="00E655BD">
        <w:rPr>
          <w:rFonts w:ascii="Arial" w:hAnsi="Arial" w:cs="Arial"/>
          <w:sz w:val="24"/>
          <w:szCs w:val="24"/>
        </w:rPr>
        <w:t xml:space="preserve"> be revisited, taking into account the revised HGIs. </w:t>
      </w:r>
      <w:r w:rsidR="00CF20DD">
        <w:rPr>
          <w:rFonts w:ascii="Arial" w:hAnsi="Arial" w:cs="Arial"/>
          <w:sz w:val="24"/>
          <w:szCs w:val="24"/>
        </w:rPr>
        <w:t>It should also be noted that where some settlements requ</w:t>
      </w:r>
      <w:r w:rsidR="00F318CB">
        <w:rPr>
          <w:rFonts w:ascii="Arial" w:hAnsi="Arial" w:cs="Arial"/>
          <w:sz w:val="24"/>
          <w:szCs w:val="24"/>
        </w:rPr>
        <w:t>ire additional dwelling</w:t>
      </w:r>
      <w:r w:rsidR="00CF20DD">
        <w:rPr>
          <w:rFonts w:ascii="Arial" w:hAnsi="Arial" w:cs="Arial"/>
          <w:sz w:val="24"/>
          <w:szCs w:val="24"/>
        </w:rPr>
        <w:t xml:space="preserve"> units, this does not imply that additional land outside the settlement will be required as many of the settlements have undeveloped and uncommitted land within their </w:t>
      </w:r>
      <w:r w:rsidR="00282027">
        <w:rPr>
          <w:rFonts w:ascii="Arial" w:hAnsi="Arial" w:cs="Arial"/>
          <w:sz w:val="24"/>
          <w:szCs w:val="24"/>
        </w:rPr>
        <w:t xml:space="preserve">existing </w:t>
      </w:r>
      <w:r w:rsidR="00CF20DD">
        <w:rPr>
          <w:rFonts w:ascii="Arial" w:hAnsi="Arial" w:cs="Arial"/>
          <w:sz w:val="24"/>
          <w:szCs w:val="24"/>
        </w:rPr>
        <w:t xml:space="preserve">settlement limits. </w:t>
      </w:r>
    </w:p>
    <w:p w:rsidR="00C84935" w:rsidRDefault="005D3CC9" w:rsidP="002E7E19">
      <w:pPr>
        <w:spacing w:line="240" w:lineRule="auto"/>
        <w:ind w:left="720" w:hanging="720"/>
        <w:jc w:val="both"/>
        <w:rPr>
          <w:rFonts w:ascii="Arial" w:hAnsi="Arial" w:cs="Arial"/>
          <w:sz w:val="24"/>
          <w:szCs w:val="24"/>
        </w:rPr>
      </w:pPr>
      <w:r>
        <w:rPr>
          <w:rFonts w:ascii="Arial" w:hAnsi="Arial" w:cs="Arial"/>
          <w:sz w:val="24"/>
          <w:szCs w:val="24"/>
        </w:rPr>
        <w:t>5.7</w:t>
      </w:r>
      <w:r w:rsidR="00C84935">
        <w:rPr>
          <w:rFonts w:ascii="Arial" w:hAnsi="Arial" w:cs="Arial"/>
          <w:sz w:val="24"/>
          <w:szCs w:val="24"/>
        </w:rPr>
        <w:tab/>
        <w:t xml:space="preserve">Appendix 1 shows the existing share of households in 2011 in relation to existing housing land supply (Annual Housing Monitor 2015) for each settlement. </w:t>
      </w:r>
    </w:p>
    <w:p w:rsidR="00CF20DD" w:rsidRDefault="00CF20DD" w:rsidP="002E7E19">
      <w:pPr>
        <w:spacing w:line="240" w:lineRule="auto"/>
        <w:ind w:left="720" w:hanging="720"/>
        <w:jc w:val="both"/>
        <w:rPr>
          <w:rFonts w:ascii="Arial" w:hAnsi="Arial" w:cs="Arial"/>
          <w:sz w:val="24"/>
          <w:szCs w:val="24"/>
        </w:rPr>
      </w:pPr>
    </w:p>
    <w:p w:rsidR="00CF20DD" w:rsidRPr="00EC5351" w:rsidRDefault="00CF20DD" w:rsidP="002E7E19">
      <w:pPr>
        <w:spacing w:line="240" w:lineRule="auto"/>
        <w:ind w:left="720" w:hanging="720"/>
        <w:jc w:val="both"/>
        <w:rPr>
          <w:rFonts w:ascii="Arial" w:hAnsi="Arial" w:cs="Arial"/>
          <w:sz w:val="24"/>
          <w:szCs w:val="24"/>
        </w:rPr>
      </w:pPr>
    </w:p>
    <w:sectPr w:rsidR="00CF20DD" w:rsidRPr="00EC5351" w:rsidSect="00B87BF8">
      <w:footerReference w:type="default" r:id="rId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DE7" w:rsidRDefault="008D2DE7" w:rsidP="008D2DE7">
      <w:pPr>
        <w:spacing w:after="0" w:line="240" w:lineRule="auto"/>
      </w:pPr>
      <w:r>
        <w:separator/>
      </w:r>
    </w:p>
  </w:endnote>
  <w:endnote w:type="continuationSeparator" w:id="0">
    <w:p w:rsidR="008D2DE7" w:rsidRDefault="008D2DE7" w:rsidP="008D2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225968"/>
      <w:docPartObj>
        <w:docPartGallery w:val="Page Numbers (Bottom of Page)"/>
        <w:docPartUnique/>
      </w:docPartObj>
    </w:sdtPr>
    <w:sdtEndPr>
      <w:rPr>
        <w:noProof/>
      </w:rPr>
    </w:sdtEndPr>
    <w:sdtContent>
      <w:p w:rsidR="00B87BF8" w:rsidRDefault="00B87BF8">
        <w:pPr>
          <w:pStyle w:val="Footer"/>
          <w:jc w:val="center"/>
        </w:pPr>
        <w:r>
          <w:fldChar w:fldCharType="begin"/>
        </w:r>
        <w:r>
          <w:instrText xml:space="preserve"> PAGE   \* MERGEFORMAT </w:instrText>
        </w:r>
        <w:r>
          <w:fldChar w:fldCharType="separate"/>
        </w:r>
        <w:r w:rsidR="00D368F8">
          <w:rPr>
            <w:noProof/>
          </w:rPr>
          <w:t>10</w:t>
        </w:r>
        <w:r>
          <w:rPr>
            <w:noProof/>
          </w:rPr>
          <w:fldChar w:fldCharType="end"/>
        </w:r>
      </w:p>
    </w:sdtContent>
  </w:sdt>
  <w:p w:rsidR="00B87BF8" w:rsidRDefault="00B87B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DE7" w:rsidRDefault="008D2DE7" w:rsidP="008D2DE7">
      <w:pPr>
        <w:spacing w:after="0" w:line="240" w:lineRule="auto"/>
      </w:pPr>
      <w:r>
        <w:separator/>
      </w:r>
    </w:p>
  </w:footnote>
  <w:footnote w:type="continuationSeparator" w:id="0">
    <w:p w:rsidR="008D2DE7" w:rsidRDefault="008D2DE7" w:rsidP="008D2DE7">
      <w:pPr>
        <w:spacing w:after="0" w:line="240" w:lineRule="auto"/>
      </w:pPr>
      <w:r>
        <w:continuationSeparator/>
      </w:r>
    </w:p>
  </w:footnote>
  <w:footnote w:id="1">
    <w:p w:rsidR="00D71C24" w:rsidRDefault="00D71C24">
      <w:pPr>
        <w:pStyle w:val="FootnoteText"/>
      </w:pPr>
      <w:r>
        <w:rPr>
          <w:rStyle w:val="FootnoteReference"/>
        </w:rPr>
        <w:footnoteRef/>
      </w:r>
      <w:r>
        <w:t xml:space="preserve"> Brownfield sites are sites within a settlement limit which are or were occupied by a permanent structure. These may include underused buildings or vacant buildings for example. May also be referred to as “Previously Developed Land”</w:t>
      </w:r>
    </w:p>
  </w:footnote>
  <w:footnote w:id="2">
    <w:p w:rsidR="00D71C24" w:rsidRDefault="00D71C24">
      <w:pPr>
        <w:pStyle w:val="FootnoteText"/>
      </w:pPr>
      <w:r>
        <w:rPr>
          <w:rStyle w:val="FootnoteReference"/>
        </w:rPr>
        <w:footnoteRef/>
      </w:r>
      <w:r>
        <w:t xml:space="preserve"> The urban footprint of a settlement limit is the continuously built up area which has a formal urban use.</w:t>
      </w:r>
    </w:p>
  </w:footnote>
  <w:footnote w:id="3">
    <w:p w:rsidR="00D71C24" w:rsidRDefault="00D71C24">
      <w:pPr>
        <w:pStyle w:val="FootnoteText"/>
      </w:pPr>
      <w:r>
        <w:rPr>
          <w:rStyle w:val="FootnoteReference"/>
        </w:rPr>
        <w:footnoteRef/>
      </w:r>
      <w:r>
        <w:t xml:space="preserve"> Figures taken from Key Statistics for Settlements, July 2015 (Census 2011)</w:t>
      </w:r>
    </w:p>
  </w:footnote>
  <w:footnote w:id="4">
    <w:p w:rsidR="00127346" w:rsidRDefault="00127346">
      <w:pPr>
        <w:pStyle w:val="FootnoteText"/>
      </w:pPr>
      <w:r>
        <w:rPr>
          <w:rStyle w:val="FootnoteReference"/>
        </w:rPr>
        <w:footnoteRef/>
      </w:r>
      <w:r>
        <w:t xml:space="preserve"> 2012-based Household Projections 2012-2037, published 26-03-2015, NISRA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72AFD"/>
    <w:multiLevelType w:val="hybridMultilevel"/>
    <w:tmpl w:val="A906DA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9F60B6"/>
    <w:multiLevelType w:val="hybridMultilevel"/>
    <w:tmpl w:val="D4D805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F525047"/>
    <w:multiLevelType w:val="hybridMultilevel"/>
    <w:tmpl w:val="11C2B8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447C04"/>
    <w:multiLevelType w:val="hybridMultilevel"/>
    <w:tmpl w:val="DE505B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72F6A92"/>
    <w:multiLevelType w:val="hybridMultilevel"/>
    <w:tmpl w:val="773012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3E068BB"/>
    <w:multiLevelType w:val="multilevel"/>
    <w:tmpl w:val="C7E8BA8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961051F"/>
    <w:multiLevelType w:val="hybridMultilevel"/>
    <w:tmpl w:val="3B7C63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DF564C9"/>
    <w:multiLevelType w:val="hybridMultilevel"/>
    <w:tmpl w:val="98E88C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24F6CC3"/>
    <w:multiLevelType w:val="hybridMultilevel"/>
    <w:tmpl w:val="66BEF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FF5146B"/>
    <w:multiLevelType w:val="hybridMultilevel"/>
    <w:tmpl w:val="75EE8C12"/>
    <w:lvl w:ilvl="0" w:tplc="642A3F30">
      <w:start w:val="1"/>
      <w:numFmt w:val="lowerRoman"/>
      <w:lvlText w:val="(%1)"/>
      <w:lvlJc w:val="left"/>
      <w:pPr>
        <w:ind w:left="291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61ED0A3D"/>
    <w:multiLevelType w:val="hybridMultilevel"/>
    <w:tmpl w:val="D43E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9576C72"/>
    <w:multiLevelType w:val="hybridMultilevel"/>
    <w:tmpl w:val="651ECF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D69688A"/>
    <w:multiLevelType w:val="hybridMultilevel"/>
    <w:tmpl w:val="767E27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6"/>
  </w:num>
  <w:num w:numId="5">
    <w:abstractNumId w:val="1"/>
  </w:num>
  <w:num w:numId="6">
    <w:abstractNumId w:val="0"/>
  </w:num>
  <w:num w:numId="7">
    <w:abstractNumId w:val="7"/>
  </w:num>
  <w:num w:numId="8">
    <w:abstractNumId w:val="8"/>
  </w:num>
  <w:num w:numId="9">
    <w:abstractNumId w:val="12"/>
  </w:num>
  <w:num w:numId="10">
    <w:abstractNumId w:val="4"/>
  </w:num>
  <w:num w:numId="11">
    <w:abstractNumId w:val="2"/>
  </w:num>
  <w:num w:numId="12">
    <w:abstractNumId w:val="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625"/>
    <w:rsid w:val="000276F6"/>
    <w:rsid w:val="00050E25"/>
    <w:rsid w:val="00054DB2"/>
    <w:rsid w:val="0006139E"/>
    <w:rsid w:val="000A366E"/>
    <w:rsid w:val="000C2622"/>
    <w:rsid w:val="000C29AF"/>
    <w:rsid w:val="000C29E7"/>
    <w:rsid w:val="000C51F3"/>
    <w:rsid w:val="000D595F"/>
    <w:rsid w:val="00100FED"/>
    <w:rsid w:val="00106C39"/>
    <w:rsid w:val="0011614E"/>
    <w:rsid w:val="00127346"/>
    <w:rsid w:val="001558C2"/>
    <w:rsid w:val="00175751"/>
    <w:rsid w:val="0018434F"/>
    <w:rsid w:val="00186126"/>
    <w:rsid w:val="00197E25"/>
    <w:rsid w:val="00210BAB"/>
    <w:rsid w:val="00217735"/>
    <w:rsid w:val="002240A2"/>
    <w:rsid w:val="00234B96"/>
    <w:rsid w:val="00257F68"/>
    <w:rsid w:val="00282027"/>
    <w:rsid w:val="002B11FF"/>
    <w:rsid w:val="002D151E"/>
    <w:rsid w:val="002D3865"/>
    <w:rsid w:val="002E7E19"/>
    <w:rsid w:val="00302E74"/>
    <w:rsid w:val="00311320"/>
    <w:rsid w:val="003372E9"/>
    <w:rsid w:val="00355044"/>
    <w:rsid w:val="003A4C76"/>
    <w:rsid w:val="003B252B"/>
    <w:rsid w:val="003E7089"/>
    <w:rsid w:val="003E7777"/>
    <w:rsid w:val="00404BB6"/>
    <w:rsid w:val="004064F2"/>
    <w:rsid w:val="0041173D"/>
    <w:rsid w:val="004547E2"/>
    <w:rsid w:val="004671E1"/>
    <w:rsid w:val="00481A89"/>
    <w:rsid w:val="0049053A"/>
    <w:rsid w:val="004A39DE"/>
    <w:rsid w:val="004B5335"/>
    <w:rsid w:val="004C1225"/>
    <w:rsid w:val="004E7254"/>
    <w:rsid w:val="00507775"/>
    <w:rsid w:val="00563914"/>
    <w:rsid w:val="005A3342"/>
    <w:rsid w:val="005B363C"/>
    <w:rsid w:val="005D3CC9"/>
    <w:rsid w:val="005E6F3F"/>
    <w:rsid w:val="005F4EBD"/>
    <w:rsid w:val="00637ADA"/>
    <w:rsid w:val="00645331"/>
    <w:rsid w:val="00650F6C"/>
    <w:rsid w:val="00685ADB"/>
    <w:rsid w:val="00691D71"/>
    <w:rsid w:val="006F3178"/>
    <w:rsid w:val="00733CB2"/>
    <w:rsid w:val="007815F1"/>
    <w:rsid w:val="007920C7"/>
    <w:rsid w:val="007A714E"/>
    <w:rsid w:val="007E6895"/>
    <w:rsid w:val="007F13CC"/>
    <w:rsid w:val="00831FA8"/>
    <w:rsid w:val="00835568"/>
    <w:rsid w:val="00836631"/>
    <w:rsid w:val="00863812"/>
    <w:rsid w:val="00885BF1"/>
    <w:rsid w:val="0089256B"/>
    <w:rsid w:val="00896855"/>
    <w:rsid w:val="008C61B9"/>
    <w:rsid w:val="008D2DE7"/>
    <w:rsid w:val="008F6E56"/>
    <w:rsid w:val="00925BFC"/>
    <w:rsid w:val="009271AB"/>
    <w:rsid w:val="00942670"/>
    <w:rsid w:val="00960C24"/>
    <w:rsid w:val="009633B9"/>
    <w:rsid w:val="00963B44"/>
    <w:rsid w:val="00971252"/>
    <w:rsid w:val="009A3B7F"/>
    <w:rsid w:val="009B4795"/>
    <w:rsid w:val="009D77A3"/>
    <w:rsid w:val="00A033DE"/>
    <w:rsid w:val="00A2081F"/>
    <w:rsid w:val="00A21B3D"/>
    <w:rsid w:val="00A27F75"/>
    <w:rsid w:val="00A722B4"/>
    <w:rsid w:val="00A724C3"/>
    <w:rsid w:val="00A82CD8"/>
    <w:rsid w:val="00A95698"/>
    <w:rsid w:val="00AA553F"/>
    <w:rsid w:val="00B1361B"/>
    <w:rsid w:val="00B22D2E"/>
    <w:rsid w:val="00B55924"/>
    <w:rsid w:val="00B8569B"/>
    <w:rsid w:val="00B87BF8"/>
    <w:rsid w:val="00BB2D1F"/>
    <w:rsid w:val="00BE2CCD"/>
    <w:rsid w:val="00BF7E90"/>
    <w:rsid w:val="00C16EC6"/>
    <w:rsid w:val="00C3149C"/>
    <w:rsid w:val="00C439ED"/>
    <w:rsid w:val="00C521FB"/>
    <w:rsid w:val="00C84935"/>
    <w:rsid w:val="00C91C43"/>
    <w:rsid w:val="00C92D8D"/>
    <w:rsid w:val="00CA6291"/>
    <w:rsid w:val="00CF20DD"/>
    <w:rsid w:val="00CF6DB5"/>
    <w:rsid w:val="00D0294A"/>
    <w:rsid w:val="00D07759"/>
    <w:rsid w:val="00D10F22"/>
    <w:rsid w:val="00D22414"/>
    <w:rsid w:val="00D368F8"/>
    <w:rsid w:val="00D53815"/>
    <w:rsid w:val="00D71C24"/>
    <w:rsid w:val="00D750FB"/>
    <w:rsid w:val="00D776BD"/>
    <w:rsid w:val="00D87625"/>
    <w:rsid w:val="00DA027C"/>
    <w:rsid w:val="00DB4D1F"/>
    <w:rsid w:val="00DC3E57"/>
    <w:rsid w:val="00DF667D"/>
    <w:rsid w:val="00DF7219"/>
    <w:rsid w:val="00DF7D0D"/>
    <w:rsid w:val="00E1023E"/>
    <w:rsid w:val="00E3518B"/>
    <w:rsid w:val="00E40720"/>
    <w:rsid w:val="00E51BE4"/>
    <w:rsid w:val="00E655BD"/>
    <w:rsid w:val="00EC1364"/>
    <w:rsid w:val="00EC47AE"/>
    <w:rsid w:val="00EC5351"/>
    <w:rsid w:val="00EE718A"/>
    <w:rsid w:val="00F30729"/>
    <w:rsid w:val="00F318CB"/>
    <w:rsid w:val="00F73A77"/>
    <w:rsid w:val="00F81EFB"/>
    <w:rsid w:val="00FB3392"/>
    <w:rsid w:val="00FC78E5"/>
    <w:rsid w:val="00FE4CEB"/>
    <w:rsid w:val="00FF4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3561C-CEEB-481B-9499-40D05868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DE7"/>
    <w:pPr>
      <w:ind w:left="720"/>
      <w:contextualSpacing/>
    </w:pPr>
  </w:style>
  <w:style w:type="paragraph" w:styleId="FootnoteText">
    <w:name w:val="footnote text"/>
    <w:basedOn w:val="Normal"/>
    <w:link w:val="FootnoteTextChar"/>
    <w:uiPriority w:val="99"/>
    <w:semiHidden/>
    <w:unhideWhenUsed/>
    <w:rsid w:val="008D2D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DE7"/>
    <w:rPr>
      <w:sz w:val="20"/>
      <w:szCs w:val="20"/>
    </w:rPr>
  </w:style>
  <w:style w:type="character" w:styleId="FootnoteReference">
    <w:name w:val="footnote reference"/>
    <w:basedOn w:val="DefaultParagraphFont"/>
    <w:uiPriority w:val="99"/>
    <w:semiHidden/>
    <w:unhideWhenUsed/>
    <w:rsid w:val="008D2DE7"/>
    <w:rPr>
      <w:vertAlign w:val="superscript"/>
    </w:rPr>
  </w:style>
  <w:style w:type="paragraph" w:styleId="Header">
    <w:name w:val="header"/>
    <w:basedOn w:val="Normal"/>
    <w:link w:val="HeaderChar"/>
    <w:uiPriority w:val="99"/>
    <w:unhideWhenUsed/>
    <w:rsid w:val="00B87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BF8"/>
  </w:style>
  <w:style w:type="paragraph" w:styleId="Footer">
    <w:name w:val="footer"/>
    <w:basedOn w:val="Normal"/>
    <w:link w:val="FooterChar"/>
    <w:uiPriority w:val="99"/>
    <w:unhideWhenUsed/>
    <w:rsid w:val="00B87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BF8"/>
  </w:style>
  <w:style w:type="table" w:styleId="TableGrid">
    <w:name w:val="Table Grid"/>
    <w:basedOn w:val="TableNormal"/>
    <w:uiPriority w:val="39"/>
    <w:rsid w:val="005F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37ADA"/>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637ADA"/>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963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6BE74-128A-47F9-B0BF-BF48F7903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3074</Words>
  <Characters>17525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Clements</dc:creator>
  <cp:keywords/>
  <dc:description/>
  <cp:lastModifiedBy>Hilda Clements</cp:lastModifiedBy>
  <cp:revision>2</cp:revision>
  <cp:lastPrinted>2015-11-02T15:28:00Z</cp:lastPrinted>
  <dcterms:created xsi:type="dcterms:W3CDTF">2015-11-12T10:06:00Z</dcterms:created>
  <dcterms:modified xsi:type="dcterms:W3CDTF">2015-11-12T10:06:00Z</dcterms:modified>
</cp:coreProperties>
</file>